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0902546D" w14:textId="77777777" w:rsidR="00FA23D6" w:rsidRDefault="00854DB7" w:rsidP="00854DB7">
      <w:pPr>
        <w:pStyle w:val="hanginglist"/>
        <w:rPr>
          <w:b w:val="0"/>
        </w:rPr>
      </w:pPr>
      <w:r w:rsidRPr="002F684D">
        <w:t>Purpose</w:t>
      </w:r>
      <w:r w:rsidRPr="002F684D">
        <w:tab/>
      </w:r>
      <w:r w:rsidR="00FA23D6" w:rsidRPr="00FB4A34">
        <w:rPr>
          <w:b w:val="0"/>
        </w:rPr>
        <w:t xml:space="preserve">Explore </w:t>
      </w:r>
      <w:r w:rsidR="00FA23D6">
        <w:rPr>
          <w:b w:val="0"/>
        </w:rPr>
        <w:t>the yield of a chemical reaction by identifying the limiting reactant, comparing the theoretical and actual yields, and explaining the sources of error</w:t>
      </w:r>
      <w:r w:rsidR="00FA23D6" w:rsidRPr="00FB4A34">
        <w:rPr>
          <w:b w:val="0"/>
        </w:rPr>
        <w:t>.</w:t>
      </w:r>
    </w:p>
    <w:p w14:paraId="134173E5" w14:textId="396D91B8" w:rsidR="00854DB7" w:rsidRPr="002F684D" w:rsidRDefault="00854DB7" w:rsidP="00854DB7">
      <w:pPr>
        <w:pStyle w:val="hanginglist"/>
        <w:rPr>
          <w:b w:val="0"/>
        </w:rPr>
      </w:pPr>
      <w:r w:rsidRPr="002F684D">
        <w:t>Time</w:t>
      </w:r>
      <w:r w:rsidRPr="002F684D">
        <w:tab/>
      </w:r>
      <w:r w:rsidRPr="002F684D">
        <w:rPr>
          <w:b w:val="0"/>
        </w:rPr>
        <w:t>Approximately 45 minutes</w:t>
      </w:r>
    </w:p>
    <w:p w14:paraId="61C3F29A" w14:textId="255B4917" w:rsidR="009B41AE" w:rsidRPr="009B41AE" w:rsidRDefault="00854DB7" w:rsidP="00594F44">
      <w:pPr>
        <w:pStyle w:val="hanginglist"/>
        <w:rPr>
          <w:b w:val="0"/>
        </w:rPr>
      </w:pPr>
      <w:r w:rsidRPr="002F684D">
        <w:t>Question</w:t>
      </w:r>
      <w:r w:rsidRPr="002F684D">
        <w:tab/>
      </w:r>
      <w:r w:rsidR="00FA23D6" w:rsidRPr="00FA23D6">
        <w:rPr>
          <w:b w:val="0"/>
        </w:rPr>
        <w:t>While observing a chemical reaction, how can you tell which reactant is limiting?</w:t>
      </w:r>
    </w:p>
    <w:p w14:paraId="3A8AA242" w14:textId="77777777" w:rsidR="00FA23D6" w:rsidRDefault="00FA23D6" w:rsidP="00FA23D6">
      <w:pPr>
        <w:ind w:left="1440" w:hanging="1440"/>
      </w:pPr>
      <w:r>
        <w:rPr>
          <w:b/>
        </w:rPr>
        <w:t>Reaction</w:t>
      </w:r>
      <w:r>
        <w:rPr>
          <w:b/>
        </w:rPr>
        <w:tab/>
      </w:r>
      <w:r>
        <w:t xml:space="preserve">The </w:t>
      </w:r>
      <w:r w:rsidRPr="000964C9">
        <w:t xml:space="preserve">reaction </w:t>
      </w:r>
      <w:r>
        <w:t>of copper(II) chloride and alumin</w:t>
      </w:r>
      <w:r w:rsidRPr="000964C9">
        <w:t xml:space="preserve">um is shown </w:t>
      </w:r>
      <w:r>
        <w:t>in this balanced equation</w:t>
      </w:r>
      <w:r w:rsidRPr="000964C9">
        <w:t>:</w:t>
      </w:r>
    </w:p>
    <w:p w14:paraId="737FA0A8" w14:textId="77777777" w:rsidR="00FA23D6" w:rsidRDefault="00FA23D6" w:rsidP="00FA23D6">
      <w:pPr>
        <w:ind w:left="1440"/>
        <w:jc w:val="center"/>
      </w:pPr>
      <w:r>
        <w:t>3CuCl</w:t>
      </w:r>
      <w:r>
        <w:rPr>
          <w:vertAlign w:val="subscript"/>
        </w:rPr>
        <w:t>2</w:t>
      </w:r>
      <w:r>
        <w:t xml:space="preserve"> + 2Al </w:t>
      </w:r>
      <w:r w:rsidRPr="000964C9">
        <w:sym w:font="Symbol" w:char="F0AE"/>
      </w:r>
      <w:r>
        <w:t xml:space="preserve"> 2AlCl</w:t>
      </w:r>
      <w:r>
        <w:rPr>
          <w:vertAlign w:val="subscript"/>
        </w:rPr>
        <w:t>3</w:t>
      </w:r>
      <w:r>
        <w:t xml:space="preserve"> + 3Cu</w:t>
      </w:r>
    </w:p>
    <w:p w14:paraId="02432F57" w14:textId="77777777" w:rsidR="00FA23D6" w:rsidRPr="00AF6029" w:rsidRDefault="00FA23D6" w:rsidP="00FA23D6">
      <w:pPr>
        <w:pStyle w:val="hanginglist"/>
        <w:rPr>
          <w:b w:val="0"/>
        </w:rPr>
      </w:pPr>
      <w:r w:rsidRPr="00F360D0">
        <w:t>Hypothes</w:t>
      </w:r>
      <w:r>
        <w:t>is</w:t>
      </w:r>
      <w:r>
        <w:tab/>
      </w:r>
      <w:r w:rsidRPr="004A042F">
        <w:rPr>
          <w:b w:val="0"/>
        </w:rPr>
        <w:t>If</w:t>
      </w:r>
      <w:r w:rsidRPr="00A52F21">
        <w:rPr>
          <w:b w:val="0"/>
        </w:rPr>
        <w:t xml:space="preserve"> a substance is the limiting reactant, then it will be fully consumed by the time the reaction completes because it is the reactant that reacts completely and the reaction cannot proceed further.</w:t>
      </w:r>
    </w:p>
    <w:p w14:paraId="667BDC11" w14:textId="77777777" w:rsidR="00FA23D6" w:rsidRPr="0017210D" w:rsidRDefault="00FA23D6" w:rsidP="00FA23D6">
      <w:pPr>
        <w:pStyle w:val="hanginglist"/>
        <w:rPr>
          <w:rFonts w:eastAsia="Malgun Gothic"/>
          <w:b w:val="0"/>
          <w:lang w:eastAsia="ko-KR"/>
        </w:rPr>
      </w:pPr>
      <w:r>
        <w:rPr>
          <w:rFonts w:eastAsia="Malgun Gothic" w:hint="eastAsia"/>
          <w:lang w:eastAsia="ko-KR"/>
        </w:rPr>
        <w:t>Summary</w:t>
      </w:r>
      <w:r>
        <w:rPr>
          <w:rFonts w:eastAsia="Malgun Gothic" w:hint="eastAsia"/>
          <w:lang w:eastAsia="ko-KR"/>
        </w:rPr>
        <w:tab/>
      </w:r>
      <w:r>
        <w:rPr>
          <w:rFonts w:eastAsia="Malgun Gothic" w:hint="eastAsia"/>
          <w:b w:val="0"/>
          <w:lang w:eastAsia="ko-KR"/>
        </w:rPr>
        <w:t xml:space="preserve">You will react copper(II) chloride with </w:t>
      </w:r>
      <w:r>
        <w:rPr>
          <w:rFonts w:eastAsia="Malgun Gothic"/>
          <w:b w:val="0"/>
          <w:lang w:eastAsia="ko-KR"/>
        </w:rPr>
        <w:t xml:space="preserve">different quantities of </w:t>
      </w:r>
      <w:r>
        <w:rPr>
          <w:rFonts w:eastAsia="Malgun Gothic" w:hint="eastAsia"/>
          <w:b w:val="0"/>
          <w:lang w:eastAsia="ko-KR"/>
        </w:rPr>
        <w:t xml:space="preserve">aluminum in two trials. </w:t>
      </w:r>
      <w:r>
        <w:rPr>
          <w:rFonts w:eastAsia="Malgun Gothic"/>
          <w:b w:val="0"/>
          <w:lang w:eastAsia="ko-KR"/>
        </w:rPr>
        <w:t xml:space="preserve">You will also </w:t>
      </w:r>
      <w:r>
        <w:rPr>
          <w:rFonts w:eastAsia="Malgun Gothic" w:hint="eastAsia"/>
          <w:b w:val="0"/>
          <w:lang w:eastAsia="ko-KR"/>
        </w:rPr>
        <w:t>calculate percent yield</w:t>
      </w:r>
      <w:r>
        <w:rPr>
          <w:rFonts w:eastAsia="Malgun Gothic"/>
          <w:b w:val="0"/>
          <w:lang w:eastAsia="ko-KR"/>
        </w:rPr>
        <w:t xml:space="preserve"> for Trial 2</w:t>
      </w:r>
      <w:r>
        <w:rPr>
          <w:rFonts w:eastAsia="Malgun Gothic" w:hint="eastAsia"/>
          <w:b w:val="0"/>
          <w:lang w:eastAsia="ko-KR"/>
        </w:rPr>
        <w:t>.</w:t>
      </w:r>
    </w:p>
    <w:p w14:paraId="6BC7FCFA" w14:textId="77777777" w:rsidR="00854DB7" w:rsidRPr="00FA23D6" w:rsidRDefault="00854DB7" w:rsidP="00277E45">
      <w:pPr>
        <w:pStyle w:val="Heading1"/>
        <w:rPr>
          <w:color w:val="auto"/>
        </w:rPr>
      </w:pPr>
      <w:r w:rsidRPr="00FA23D6">
        <w:rPr>
          <w:color w:val="auto"/>
        </w:rPr>
        <w:t>Safety</w:t>
      </w:r>
    </w:p>
    <w:p w14:paraId="72B66E61" w14:textId="77777777" w:rsidR="006A0CB7" w:rsidRDefault="006A0CB7" w:rsidP="006A0CB7">
      <w:pPr>
        <w:keepNext w:val="0"/>
        <w:numPr>
          <w:ilvl w:val="0"/>
          <w:numId w:val="20"/>
        </w:numPr>
      </w:pPr>
      <w:r w:rsidRPr="00B76D0F">
        <w:t xml:space="preserve">Always wear a lab </w:t>
      </w:r>
      <w:r>
        <w:t xml:space="preserve">coat </w:t>
      </w:r>
      <w:r w:rsidRPr="00B76D0F">
        <w:t>and safety goggles wh</w:t>
      </w:r>
      <w:r>
        <w:t>ile</w:t>
      </w:r>
      <w:r w:rsidRPr="00B76D0F">
        <w:t xml:space="preserve"> performing an experiment. </w:t>
      </w:r>
    </w:p>
    <w:p w14:paraId="5BB5873B" w14:textId="77777777" w:rsidR="006A0CB7" w:rsidRDefault="006A0CB7" w:rsidP="006A0CB7">
      <w:pPr>
        <w:keepNext w:val="0"/>
        <w:numPr>
          <w:ilvl w:val="0"/>
          <w:numId w:val="20"/>
        </w:numPr>
      </w:pPr>
      <w:r>
        <w:t>Do not smell or taste any of the chemicals.</w:t>
      </w:r>
    </w:p>
    <w:p w14:paraId="5E11D659" w14:textId="77777777" w:rsidR="006A0CB7" w:rsidRDefault="006A0CB7" w:rsidP="006A0CB7">
      <w:pPr>
        <w:keepNext w:val="0"/>
        <w:numPr>
          <w:ilvl w:val="0"/>
          <w:numId w:val="20"/>
        </w:numPr>
      </w:pPr>
      <w:r>
        <w:t>Do not use any equipment unless you have been trained and its use is approved by your teacher.</w:t>
      </w:r>
    </w:p>
    <w:p w14:paraId="6D58EE18" w14:textId="77777777" w:rsidR="006A0CB7" w:rsidRDefault="006A0CB7" w:rsidP="006A0CB7">
      <w:pPr>
        <w:keepNext w:val="0"/>
        <w:numPr>
          <w:ilvl w:val="0"/>
          <w:numId w:val="20"/>
        </w:numPr>
      </w:pPr>
      <w:r>
        <w:t>Use the right gear; for example, use chemical-resistant gloves when handling chemicals and tongs when moving hot objects.</w:t>
      </w:r>
    </w:p>
    <w:p w14:paraId="07B2FFCA" w14:textId="77777777" w:rsidR="006A0CB7" w:rsidRPr="00B76D0F" w:rsidRDefault="006A0CB7" w:rsidP="006A0CB7">
      <w:pPr>
        <w:keepNext w:val="0"/>
        <w:numPr>
          <w:ilvl w:val="0"/>
          <w:numId w:val="20"/>
        </w:numPr>
      </w:pPr>
      <w:r w:rsidRPr="00B76D0F">
        <w:t xml:space="preserve">Check </w:t>
      </w:r>
      <w:r>
        <w:t xml:space="preserve">glassware, such as </w:t>
      </w:r>
      <w:r w:rsidRPr="00B76D0F">
        <w:t>beaker</w:t>
      </w:r>
      <w:r>
        <w:t>s,</w:t>
      </w:r>
      <w:r w:rsidRPr="00B76D0F">
        <w:t xml:space="preserve"> for cracks and chips prior to use.</w:t>
      </w:r>
    </w:p>
    <w:p w14:paraId="790B9F9A" w14:textId="77777777" w:rsidR="006A0CB7" w:rsidRDefault="006A0CB7" w:rsidP="006A0CB7">
      <w:pPr>
        <w:keepNext w:val="0"/>
        <w:numPr>
          <w:ilvl w:val="0"/>
          <w:numId w:val="20"/>
        </w:numPr>
      </w:pPr>
      <w:r w:rsidRPr="00B76D0F">
        <w:t>Report all acciden</w:t>
      </w:r>
      <w:r>
        <w:t>ts—no matter how big or small—</w:t>
      </w:r>
      <w:r w:rsidRPr="00B76D0F">
        <w:t>to your teacher</w:t>
      </w:r>
      <w:r>
        <w:t>.</w:t>
      </w:r>
    </w:p>
    <w:p w14:paraId="4DF6D220" w14:textId="77777777" w:rsidR="006A0CB7" w:rsidRDefault="006A0CB7" w:rsidP="006A0CB7">
      <w:pPr>
        <w:keepNext w:val="0"/>
        <w:numPr>
          <w:ilvl w:val="0"/>
          <w:numId w:val="20"/>
        </w:numPr>
      </w:pPr>
      <w:r w:rsidRPr="006D61FB">
        <w:t xml:space="preserve">Keep </w:t>
      </w:r>
      <w:r>
        <w:t>your</w:t>
      </w:r>
      <w:r w:rsidRPr="006D61FB">
        <w:t xml:space="preserve"> work area clear of all materials exc</w:t>
      </w:r>
      <w:r>
        <w:t>ept those needed for the experiment.</w:t>
      </w:r>
    </w:p>
    <w:p w14:paraId="1E771235" w14:textId="6769CB48" w:rsidR="00854DB7" w:rsidRPr="00FA23D6" w:rsidRDefault="00854DB7" w:rsidP="00854DB7">
      <w:pPr>
        <w:pStyle w:val="Heading1"/>
        <w:rPr>
          <w:color w:val="auto"/>
        </w:rPr>
      </w:pPr>
      <w:r w:rsidRPr="00FA23D6">
        <w:rPr>
          <w:color w:val="auto"/>
        </w:rPr>
        <w:t>Procedure</w:t>
      </w:r>
    </w:p>
    <w:p w14:paraId="010A94D2" w14:textId="77777777" w:rsidR="006A0CB7" w:rsidRDefault="006A0CB7" w:rsidP="00096673">
      <w:pPr>
        <w:keepNext w:val="0"/>
        <w:numPr>
          <w:ilvl w:val="0"/>
          <w:numId w:val="8"/>
        </w:numPr>
        <w:spacing w:before="120"/>
        <w:contextualSpacing/>
      </w:pPr>
      <w:r>
        <w:rPr>
          <w:b/>
        </w:rPr>
        <w:t>Gather Materials</w:t>
      </w:r>
    </w:p>
    <w:tbl>
      <w:tblPr>
        <w:tblW w:w="8692" w:type="dxa"/>
        <w:tblInd w:w="108" w:type="dxa"/>
        <w:tblLook w:val="04A0" w:firstRow="1" w:lastRow="0" w:firstColumn="1" w:lastColumn="0" w:noHBand="0" w:noVBand="1"/>
      </w:tblPr>
      <w:tblGrid>
        <w:gridCol w:w="2988"/>
        <w:gridCol w:w="1992"/>
        <w:gridCol w:w="3712"/>
      </w:tblGrid>
      <w:tr w:rsidR="006A0CB7" w14:paraId="78BA283F" w14:textId="77777777" w:rsidTr="00096673">
        <w:trPr>
          <w:trHeight w:val="1540"/>
        </w:trPr>
        <w:tc>
          <w:tcPr>
            <w:tcW w:w="2988" w:type="dxa"/>
          </w:tcPr>
          <w:p w14:paraId="0DFBF4DD" w14:textId="77777777" w:rsidR="006A0CB7" w:rsidRPr="000535F0" w:rsidRDefault="006A0CB7" w:rsidP="00096673">
            <w:pPr>
              <w:keepNext w:val="0"/>
              <w:numPr>
                <w:ilvl w:val="0"/>
                <w:numId w:val="21"/>
              </w:numPr>
              <w:tabs>
                <w:tab w:val="num" w:pos="864"/>
              </w:tabs>
              <w:spacing w:after="100" w:afterAutospacing="1"/>
              <w:ind w:left="360" w:hanging="360"/>
              <w:contextualSpacing/>
              <w:rPr>
                <w:color w:val="333333" w:themeColor="text1"/>
              </w:rPr>
            </w:pPr>
            <w:r w:rsidRPr="000535F0">
              <w:rPr>
                <w:color w:val="333333" w:themeColor="text1"/>
              </w:rPr>
              <w:t>250 mL beaker</w:t>
            </w:r>
          </w:p>
          <w:p w14:paraId="15ED7B16" w14:textId="77777777" w:rsidR="006A0CB7" w:rsidRDefault="006A0CB7" w:rsidP="00096673">
            <w:pPr>
              <w:keepNext w:val="0"/>
              <w:numPr>
                <w:ilvl w:val="0"/>
                <w:numId w:val="21"/>
              </w:numPr>
              <w:tabs>
                <w:tab w:val="num" w:pos="864"/>
              </w:tabs>
              <w:spacing w:after="100" w:afterAutospacing="1"/>
              <w:ind w:left="360" w:hanging="360"/>
              <w:contextualSpacing/>
            </w:pPr>
            <w:r>
              <w:t xml:space="preserve">250 mL Erlenmeyer flask </w:t>
            </w:r>
          </w:p>
          <w:p w14:paraId="5297ADD5" w14:textId="77777777" w:rsidR="006A0CB7" w:rsidRPr="00B2139D" w:rsidRDefault="006A0CB7" w:rsidP="00096673">
            <w:pPr>
              <w:keepNext w:val="0"/>
              <w:numPr>
                <w:ilvl w:val="0"/>
                <w:numId w:val="21"/>
              </w:numPr>
              <w:tabs>
                <w:tab w:val="num" w:pos="864"/>
              </w:tabs>
              <w:spacing w:after="100" w:afterAutospacing="1"/>
              <w:ind w:left="360" w:hanging="360"/>
              <w:contextualSpacing/>
              <w:rPr>
                <w:color w:val="333333" w:themeColor="text1"/>
              </w:rPr>
            </w:pPr>
            <w:r>
              <w:t>Wash bottle</w:t>
            </w:r>
          </w:p>
          <w:p w14:paraId="1FF4945E" w14:textId="77777777" w:rsidR="006A0CB7" w:rsidRPr="004D03C4" w:rsidRDefault="006A0CB7" w:rsidP="00096673">
            <w:pPr>
              <w:keepNext w:val="0"/>
              <w:numPr>
                <w:ilvl w:val="0"/>
                <w:numId w:val="21"/>
              </w:numPr>
              <w:tabs>
                <w:tab w:val="num" w:pos="864"/>
              </w:tabs>
              <w:spacing w:after="100" w:afterAutospacing="1"/>
              <w:ind w:left="360" w:hanging="360"/>
              <w:contextualSpacing/>
              <w:rPr>
                <w:color w:val="333333" w:themeColor="text1"/>
              </w:rPr>
            </w:pPr>
            <w:r>
              <w:t>Distilled water</w:t>
            </w:r>
          </w:p>
        </w:tc>
        <w:tc>
          <w:tcPr>
            <w:tcW w:w="1992" w:type="dxa"/>
          </w:tcPr>
          <w:p w14:paraId="04EC9CFD" w14:textId="77777777" w:rsidR="006A0CB7" w:rsidRPr="000535F0" w:rsidRDefault="006A0CB7" w:rsidP="00096673">
            <w:pPr>
              <w:keepNext w:val="0"/>
              <w:numPr>
                <w:ilvl w:val="0"/>
                <w:numId w:val="21"/>
              </w:numPr>
              <w:tabs>
                <w:tab w:val="num" w:pos="864"/>
              </w:tabs>
              <w:spacing w:after="100" w:afterAutospacing="1"/>
              <w:ind w:left="360" w:hanging="360"/>
              <w:contextualSpacing/>
              <w:rPr>
                <w:color w:val="333333" w:themeColor="text1"/>
              </w:rPr>
            </w:pPr>
            <w:r w:rsidRPr="000535F0">
              <w:rPr>
                <w:color w:val="333333" w:themeColor="text1"/>
              </w:rPr>
              <w:t>Filter paper</w:t>
            </w:r>
          </w:p>
          <w:p w14:paraId="044F4A4A" w14:textId="77777777" w:rsidR="006A0CB7" w:rsidRPr="000535F0" w:rsidRDefault="006A0CB7" w:rsidP="00096673">
            <w:pPr>
              <w:keepNext w:val="0"/>
              <w:numPr>
                <w:ilvl w:val="0"/>
                <w:numId w:val="21"/>
              </w:numPr>
              <w:tabs>
                <w:tab w:val="num" w:pos="864"/>
              </w:tabs>
              <w:spacing w:after="100" w:afterAutospacing="1"/>
              <w:ind w:left="360" w:hanging="360"/>
              <w:contextualSpacing/>
              <w:rPr>
                <w:color w:val="333333" w:themeColor="text1"/>
              </w:rPr>
            </w:pPr>
            <w:r w:rsidRPr="000535F0">
              <w:rPr>
                <w:color w:val="333333" w:themeColor="text1"/>
              </w:rPr>
              <w:t>Funnel</w:t>
            </w:r>
          </w:p>
          <w:p w14:paraId="70E1AB15" w14:textId="77777777" w:rsidR="006A0CB7" w:rsidRDefault="006A0CB7" w:rsidP="00096673">
            <w:pPr>
              <w:keepNext w:val="0"/>
              <w:numPr>
                <w:ilvl w:val="0"/>
                <w:numId w:val="21"/>
              </w:numPr>
              <w:tabs>
                <w:tab w:val="num" w:pos="864"/>
              </w:tabs>
              <w:spacing w:after="100" w:afterAutospacing="1"/>
              <w:ind w:left="360" w:hanging="360"/>
              <w:contextualSpacing/>
              <w:rPr>
                <w:color w:val="333333" w:themeColor="text1"/>
              </w:rPr>
            </w:pPr>
            <w:r>
              <w:rPr>
                <w:color w:val="333333" w:themeColor="text1"/>
              </w:rPr>
              <w:t>Stirring rod</w:t>
            </w:r>
          </w:p>
          <w:p w14:paraId="1C6D394B" w14:textId="77777777" w:rsidR="006A0CB7" w:rsidRPr="00A123A5" w:rsidRDefault="006A0CB7" w:rsidP="00096673">
            <w:pPr>
              <w:keepNext w:val="0"/>
              <w:numPr>
                <w:ilvl w:val="0"/>
                <w:numId w:val="21"/>
              </w:numPr>
              <w:tabs>
                <w:tab w:val="num" w:pos="864"/>
              </w:tabs>
              <w:spacing w:after="100" w:afterAutospacing="1"/>
              <w:ind w:left="360" w:hanging="360"/>
              <w:contextualSpacing/>
              <w:rPr>
                <w:color w:val="333333" w:themeColor="text1"/>
              </w:rPr>
            </w:pPr>
            <w:r>
              <w:t>Watch glass</w:t>
            </w:r>
          </w:p>
          <w:p w14:paraId="253BC50B" w14:textId="77777777" w:rsidR="006A0CB7" w:rsidRPr="000535F0" w:rsidRDefault="006A0CB7" w:rsidP="00096673">
            <w:pPr>
              <w:keepNext w:val="0"/>
              <w:numPr>
                <w:ilvl w:val="0"/>
                <w:numId w:val="21"/>
              </w:numPr>
              <w:tabs>
                <w:tab w:val="num" w:pos="864"/>
              </w:tabs>
              <w:spacing w:after="100" w:afterAutospacing="1"/>
              <w:ind w:left="360" w:hanging="360"/>
              <w:contextualSpacing/>
              <w:rPr>
                <w:color w:val="333333" w:themeColor="text1"/>
              </w:rPr>
            </w:pPr>
            <w:r>
              <w:t>Spatula</w:t>
            </w:r>
          </w:p>
        </w:tc>
        <w:tc>
          <w:tcPr>
            <w:tcW w:w="3712" w:type="dxa"/>
          </w:tcPr>
          <w:p w14:paraId="010305D3" w14:textId="77777777" w:rsidR="006A0CB7" w:rsidRDefault="006A0CB7" w:rsidP="00096673">
            <w:pPr>
              <w:keepNext w:val="0"/>
              <w:numPr>
                <w:ilvl w:val="0"/>
                <w:numId w:val="21"/>
              </w:numPr>
              <w:spacing w:after="100" w:afterAutospacing="1"/>
              <w:ind w:left="360" w:hanging="360"/>
              <w:contextualSpacing/>
            </w:pPr>
            <w:r>
              <w:t xml:space="preserve">Electronic </w:t>
            </w:r>
            <w:r w:rsidRPr="00805351">
              <w:t xml:space="preserve">balance </w:t>
            </w:r>
          </w:p>
          <w:p w14:paraId="6C03266C" w14:textId="77777777" w:rsidR="006A0CB7" w:rsidRPr="00805351" w:rsidRDefault="006A0CB7" w:rsidP="00096673">
            <w:pPr>
              <w:keepNext w:val="0"/>
              <w:numPr>
                <w:ilvl w:val="0"/>
                <w:numId w:val="21"/>
              </w:numPr>
              <w:spacing w:after="100" w:afterAutospacing="1"/>
              <w:ind w:left="360" w:hanging="360"/>
              <w:contextualSpacing/>
            </w:pPr>
            <w:r>
              <w:t>W</w:t>
            </w:r>
            <w:r w:rsidRPr="00805351">
              <w:t>eighing paper</w:t>
            </w:r>
          </w:p>
          <w:p w14:paraId="4FE5F4F8" w14:textId="4CAC6B1B" w:rsidR="006A0CB7" w:rsidRPr="00805351" w:rsidRDefault="006A0CB7" w:rsidP="00096673">
            <w:pPr>
              <w:keepNext w:val="0"/>
              <w:numPr>
                <w:ilvl w:val="0"/>
                <w:numId w:val="21"/>
              </w:numPr>
              <w:spacing w:after="100" w:afterAutospacing="1"/>
              <w:ind w:left="222" w:hanging="222"/>
              <w:contextualSpacing/>
            </w:pPr>
            <w:r>
              <w:t>C</w:t>
            </w:r>
            <w:r w:rsidRPr="00805351">
              <w:t>opper(II) chloride (CuCl</w:t>
            </w:r>
            <w:r w:rsidRPr="00805351">
              <w:rPr>
                <w:vertAlign w:val="subscript"/>
              </w:rPr>
              <w:t>2</w:t>
            </w:r>
            <w:r w:rsidRPr="00805351">
              <w:t>)</w:t>
            </w:r>
            <w:r>
              <w:t xml:space="preserve">: </w:t>
            </w:r>
            <w:r w:rsidR="00096673">
              <w:t xml:space="preserve">2.50 g </w:t>
            </w:r>
            <w:r>
              <w:t>(Trial 1) and 2.50 g (Trial 2)</w:t>
            </w:r>
          </w:p>
          <w:p w14:paraId="43F3BD83" w14:textId="77777777" w:rsidR="006A0CB7" w:rsidRPr="004D03C4" w:rsidRDefault="006A0CB7" w:rsidP="00096673">
            <w:pPr>
              <w:keepNext w:val="0"/>
              <w:numPr>
                <w:ilvl w:val="0"/>
                <w:numId w:val="21"/>
              </w:numPr>
              <w:tabs>
                <w:tab w:val="num" w:pos="522"/>
                <w:tab w:val="num" w:pos="864"/>
              </w:tabs>
              <w:spacing w:after="100" w:afterAutospacing="1"/>
              <w:ind w:left="222" w:hanging="222"/>
              <w:contextualSpacing/>
              <w:rPr>
                <w:color w:val="333333" w:themeColor="text1"/>
              </w:rPr>
            </w:pPr>
            <w:r>
              <w:t xml:space="preserve">Aluminum foil (Al): 0.50 </w:t>
            </w:r>
            <w:r w:rsidRPr="00805351">
              <w:t>g</w:t>
            </w:r>
            <w:r>
              <w:t xml:space="preserve"> (Trial 1) and</w:t>
            </w:r>
            <w:r w:rsidRPr="00805351">
              <w:t xml:space="preserve"> 0.</w:t>
            </w:r>
            <w:r>
              <w:t>2</w:t>
            </w:r>
            <w:r w:rsidRPr="00805351">
              <w:t>5</w:t>
            </w:r>
            <w:r>
              <w:t xml:space="preserve"> </w:t>
            </w:r>
            <w:r w:rsidRPr="00805351">
              <w:t>g (</w:t>
            </w:r>
            <w:r>
              <w:t>T</w:t>
            </w:r>
            <w:r w:rsidRPr="00805351">
              <w:t>rial 2)</w:t>
            </w:r>
          </w:p>
        </w:tc>
      </w:tr>
    </w:tbl>
    <w:p w14:paraId="18A6FB0A" w14:textId="77777777" w:rsidR="006A0CB7" w:rsidRDefault="006A0CB7" w:rsidP="00267AE2">
      <w:pPr>
        <w:pStyle w:val="bluebox"/>
        <w:contextualSpacing/>
      </w:pPr>
      <w:r w:rsidRPr="0057469D">
        <w:rPr>
          <w:b/>
        </w:rPr>
        <w:t xml:space="preserve">Note: </w:t>
      </w:r>
      <w:r>
        <w:t>Each</w:t>
      </w:r>
      <w:r w:rsidRPr="00A17F9F">
        <w:t xml:space="preserve"> time you measure mass, </w:t>
      </w:r>
      <w:r>
        <w:t>be sure to use a weighing pan or paper; do not put material directly on the balance. Also, be sure to tare the balance when the weighing paper is on it.</w:t>
      </w:r>
    </w:p>
    <w:p w14:paraId="58F975BD" w14:textId="77777777" w:rsidR="006A0CB7" w:rsidRPr="00860F7A" w:rsidRDefault="006A0CB7" w:rsidP="006F3BED">
      <w:pPr>
        <w:keepNext w:val="0"/>
        <w:numPr>
          <w:ilvl w:val="0"/>
          <w:numId w:val="8"/>
        </w:numPr>
        <w:spacing w:before="240" w:after="0" w:line="360" w:lineRule="auto"/>
        <w:contextualSpacing/>
      </w:pPr>
      <w:r>
        <w:rPr>
          <w:b/>
        </w:rPr>
        <w:t>Prepare Aqueous Copper(II) Chloride (Trial 1)</w:t>
      </w:r>
    </w:p>
    <w:p w14:paraId="7526BBF5" w14:textId="632A3993" w:rsidR="006A0CB7" w:rsidRDefault="006A0CB7" w:rsidP="006F3BED">
      <w:pPr>
        <w:keepNext w:val="0"/>
        <w:numPr>
          <w:ilvl w:val="1"/>
          <w:numId w:val="8"/>
        </w:numPr>
        <w:spacing w:before="100" w:beforeAutospacing="1" w:after="240" w:line="276" w:lineRule="auto"/>
        <w:contextualSpacing/>
      </w:pPr>
      <w:r>
        <w:t>Using a spatula and a balance, measure 2.50 g copper(II) chloride (CuCl</w:t>
      </w:r>
      <w:r w:rsidRPr="00CA746E">
        <w:rPr>
          <w:vertAlign w:val="subscript"/>
        </w:rPr>
        <w:t>2</w:t>
      </w:r>
      <w:r>
        <w:t xml:space="preserve">). You may need </w:t>
      </w:r>
      <w:r w:rsidR="00AB02BC">
        <w:br/>
      </w:r>
      <w:r>
        <w:t>to add and subtract to get exactly 2.50 g.</w:t>
      </w:r>
    </w:p>
    <w:p w14:paraId="6A05A036" w14:textId="77777777" w:rsidR="006A0CB7" w:rsidRDefault="006A0CB7" w:rsidP="006F3BED">
      <w:pPr>
        <w:keepNext w:val="0"/>
        <w:numPr>
          <w:ilvl w:val="1"/>
          <w:numId w:val="8"/>
        </w:numPr>
        <w:spacing w:before="240" w:after="0" w:line="276" w:lineRule="auto"/>
        <w:contextualSpacing/>
      </w:pPr>
      <w:r>
        <w:t>Put it into a 250 mL beaker.</w:t>
      </w:r>
    </w:p>
    <w:p w14:paraId="74E01B58" w14:textId="77777777" w:rsidR="006A0CB7" w:rsidRDefault="006A0CB7" w:rsidP="006F3BED">
      <w:pPr>
        <w:keepNext w:val="0"/>
        <w:numPr>
          <w:ilvl w:val="1"/>
          <w:numId w:val="8"/>
        </w:numPr>
        <w:spacing w:before="240" w:after="0" w:line="276" w:lineRule="auto"/>
        <w:contextualSpacing/>
      </w:pPr>
      <w:r>
        <w:t>Measure 50 mL distilled water in the beaker.</w:t>
      </w:r>
    </w:p>
    <w:p w14:paraId="5485F61B" w14:textId="77777777" w:rsidR="006A0CB7" w:rsidRDefault="006A0CB7" w:rsidP="006F3BED">
      <w:pPr>
        <w:keepNext w:val="0"/>
        <w:numPr>
          <w:ilvl w:val="1"/>
          <w:numId w:val="8"/>
        </w:numPr>
        <w:spacing w:before="240" w:after="0" w:line="360" w:lineRule="auto"/>
        <w:contextualSpacing/>
      </w:pPr>
      <w:r>
        <w:t>Stir the solution gently with the stirring rod to dissolve the copper(II) chloride.</w:t>
      </w:r>
    </w:p>
    <w:p w14:paraId="4FA11FE3" w14:textId="77777777" w:rsidR="006F3BED" w:rsidRDefault="006F3BED" w:rsidP="006F3BED">
      <w:pPr>
        <w:keepNext w:val="0"/>
        <w:spacing w:before="240" w:after="0" w:line="360" w:lineRule="auto"/>
        <w:ind w:left="1152"/>
        <w:contextualSpacing/>
      </w:pPr>
    </w:p>
    <w:p w14:paraId="323F3C75" w14:textId="77777777" w:rsidR="006A0CB7" w:rsidRDefault="006A0CB7" w:rsidP="006F3BED">
      <w:pPr>
        <w:keepNext w:val="0"/>
        <w:numPr>
          <w:ilvl w:val="0"/>
          <w:numId w:val="8"/>
        </w:numPr>
        <w:spacing w:before="240" w:after="0" w:line="360" w:lineRule="auto"/>
        <w:contextualSpacing/>
      </w:pPr>
      <w:r>
        <w:rPr>
          <w:b/>
        </w:rPr>
        <w:lastRenderedPageBreak/>
        <w:t>React Copper(II) Chloride with Aluminum (Trial 1)</w:t>
      </w:r>
    </w:p>
    <w:p w14:paraId="3EFF1564" w14:textId="3CC81714" w:rsidR="006A0CB7" w:rsidRDefault="006A0CB7" w:rsidP="006F3BED">
      <w:pPr>
        <w:keepNext w:val="0"/>
        <w:numPr>
          <w:ilvl w:val="1"/>
          <w:numId w:val="8"/>
        </w:numPr>
        <w:spacing w:before="240" w:after="0" w:line="276" w:lineRule="auto"/>
        <w:contextualSpacing/>
      </w:pPr>
      <w:r>
        <w:t>Measure exactly 0.50 g aluminum foil (Al). (</w:t>
      </w:r>
      <w:r w:rsidRPr="003063F1">
        <w:rPr>
          <w:b/>
        </w:rPr>
        <w:t xml:space="preserve">Tip: </w:t>
      </w:r>
      <w:r>
        <w:t xml:space="preserve">Do not crumple up the foil; otherwise, it </w:t>
      </w:r>
      <w:r w:rsidR="00AB02BC">
        <w:br/>
      </w:r>
      <w:r>
        <w:t>will take longer to react. Instead, break the foil into little pieces.)</w:t>
      </w:r>
    </w:p>
    <w:p w14:paraId="5AE482B4" w14:textId="77777777" w:rsidR="006A0CB7" w:rsidRDefault="006A0CB7" w:rsidP="006F3BED">
      <w:pPr>
        <w:keepNext w:val="0"/>
        <w:numPr>
          <w:ilvl w:val="1"/>
          <w:numId w:val="8"/>
        </w:numPr>
        <w:spacing w:before="240" w:after="0" w:line="276" w:lineRule="auto"/>
        <w:contextualSpacing/>
      </w:pPr>
      <w:r>
        <w:t xml:space="preserve">Place the aluminum foil in the beaker of aqueous copper chloride. </w:t>
      </w:r>
    </w:p>
    <w:p w14:paraId="0B772A61" w14:textId="77777777" w:rsidR="006A0CB7" w:rsidRDefault="006A0CB7" w:rsidP="006F3BED">
      <w:pPr>
        <w:keepNext w:val="0"/>
        <w:numPr>
          <w:ilvl w:val="1"/>
          <w:numId w:val="8"/>
        </w:numPr>
        <w:spacing w:before="240" w:after="0" w:line="276" w:lineRule="auto"/>
        <w:contextualSpacing/>
      </w:pPr>
      <w:r>
        <w:t>Stir with the stirring rod to aid the reaction. (This may take a little time.)</w:t>
      </w:r>
    </w:p>
    <w:p w14:paraId="75A18FCB" w14:textId="77777777" w:rsidR="006A0CB7" w:rsidRDefault="006A0CB7" w:rsidP="006F3BED">
      <w:pPr>
        <w:keepNext w:val="0"/>
        <w:numPr>
          <w:ilvl w:val="1"/>
          <w:numId w:val="8"/>
        </w:numPr>
        <w:spacing w:before="240" w:after="0" w:line="276" w:lineRule="auto"/>
        <w:contextualSpacing/>
      </w:pPr>
      <w:r>
        <w:t>As the reaction proceeds, record color changes and other observations, including evidence that the reaction ended.</w:t>
      </w:r>
      <w:r>
        <w:br/>
      </w:r>
    </w:p>
    <w:p w14:paraId="521666AA" w14:textId="77777777" w:rsidR="006A0CB7" w:rsidRDefault="006A0CB7" w:rsidP="006F3BED">
      <w:pPr>
        <w:keepNext w:val="0"/>
        <w:numPr>
          <w:ilvl w:val="0"/>
          <w:numId w:val="8"/>
        </w:numPr>
        <w:spacing w:before="240" w:after="0" w:line="360" w:lineRule="auto"/>
        <w:contextualSpacing/>
        <w:rPr>
          <w:b/>
        </w:rPr>
      </w:pPr>
      <w:r w:rsidRPr="00DE0914">
        <w:rPr>
          <w:b/>
        </w:rPr>
        <w:t xml:space="preserve">Determine the </w:t>
      </w:r>
      <w:r>
        <w:rPr>
          <w:b/>
        </w:rPr>
        <w:t>L</w:t>
      </w:r>
      <w:r w:rsidRPr="00DE0914">
        <w:rPr>
          <w:b/>
        </w:rPr>
        <w:t xml:space="preserve">imiting </w:t>
      </w:r>
      <w:r>
        <w:rPr>
          <w:b/>
        </w:rPr>
        <w:t>R</w:t>
      </w:r>
      <w:r w:rsidRPr="00DE0914">
        <w:rPr>
          <w:b/>
        </w:rPr>
        <w:t>eactant</w:t>
      </w:r>
      <w:r>
        <w:rPr>
          <w:b/>
        </w:rPr>
        <w:t xml:space="preserve"> (Trial 1)</w:t>
      </w:r>
    </w:p>
    <w:p w14:paraId="406D74C7" w14:textId="77777777" w:rsidR="006A0CB7" w:rsidRDefault="006A0CB7" w:rsidP="006F3BED">
      <w:pPr>
        <w:keepNext w:val="0"/>
        <w:numPr>
          <w:ilvl w:val="1"/>
          <w:numId w:val="8"/>
        </w:numPr>
        <w:spacing w:before="240" w:after="0" w:line="276" w:lineRule="auto"/>
        <w:contextualSpacing/>
        <w:rPr>
          <w:b/>
        </w:rPr>
      </w:pPr>
      <w:r>
        <w:t xml:space="preserve">Convert the masses of the reactants to moles and record them in the data table. </w:t>
      </w:r>
    </w:p>
    <w:p w14:paraId="4225DB26" w14:textId="77777777" w:rsidR="006A0CB7" w:rsidRPr="00167383" w:rsidRDefault="006A0CB7" w:rsidP="006F3BED">
      <w:pPr>
        <w:keepNext w:val="0"/>
        <w:numPr>
          <w:ilvl w:val="1"/>
          <w:numId w:val="8"/>
        </w:numPr>
        <w:spacing w:before="240" w:after="0" w:line="276" w:lineRule="auto"/>
        <w:contextualSpacing/>
        <w:rPr>
          <w:b/>
        </w:rPr>
      </w:pPr>
      <w:r>
        <w:t>Determine the limiting reactant. Give reasons based on both observation and computation.</w:t>
      </w:r>
      <w:r>
        <w:br/>
      </w:r>
    </w:p>
    <w:p w14:paraId="41550703" w14:textId="77777777" w:rsidR="006A0CB7" w:rsidRDefault="006A0CB7" w:rsidP="006F3BED">
      <w:pPr>
        <w:keepNext w:val="0"/>
        <w:numPr>
          <w:ilvl w:val="0"/>
          <w:numId w:val="8"/>
        </w:numPr>
        <w:spacing w:before="240" w:after="0" w:line="276" w:lineRule="auto"/>
        <w:contextualSpacing/>
      </w:pPr>
      <w:r>
        <w:rPr>
          <w:b/>
        </w:rPr>
        <w:t xml:space="preserve">Prepare Aqueous Copper(II) Chloride (Trial 2) </w:t>
      </w:r>
      <w:r w:rsidRPr="008D3CC3">
        <w:t>(Repeat Step 2 exactly.)</w:t>
      </w:r>
      <w:r>
        <w:br/>
      </w:r>
    </w:p>
    <w:p w14:paraId="75FADF7E" w14:textId="77777777" w:rsidR="006A0CB7" w:rsidRDefault="006A0CB7" w:rsidP="006F3BED">
      <w:pPr>
        <w:keepNext w:val="0"/>
        <w:numPr>
          <w:ilvl w:val="0"/>
          <w:numId w:val="8"/>
        </w:numPr>
        <w:spacing w:before="240" w:after="0" w:line="360" w:lineRule="auto"/>
        <w:contextualSpacing/>
      </w:pPr>
      <w:r>
        <w:rPr>
          <w:b/>
        </w:rPr>
        <w:t>React Copper(II) Chloride with Aluminum (Trial 1)</w:t>
      </w:r>
      <w:r>
        <w:t xml:space="preserve"> (Repeat Step 3 using 0.25 g aluminum (Al) instead of 0.50 g.)</w:t>
      </w:r>
      <w:r>
        <w:br/>
      </w:r>
    </w:p>
    <w:p w14:paraId="345CEA12" w14:textId="77777777" w:rsidR="006A0CB7" w:rsidRPr="00DE0914" w:rsidRDefault="006A0CB7" w:rsidP="006F3BED">
      <w:pPr>
        <w:keepNext w:val="0"/>
        <w:numPr>
          <w:ilvl w:val="0"/>
          <w:numId w:val="8"/>
        </w:numPr>
        <w:spacing w:before="240" w:after="0" w:line="360" w:lineRule="auto"/>
        <w:contextualSpacing/>
        <w:rPr>
          <w:b/>
        </w:rPr>
      </w:pPr>
      <w:r w:rsidRPr="00DE0914">
        <w:rPr>
          <w:b/>
        </w:rPr>
        <w:t xml:space="preserve">Determine the </w:t>
      </w:r>
      <w:r>
        <w:rPr>
          <w:b/>
        </w:rPr>
        <w:t>L</w:t>
      </w:r>
      <w:r w:rsidRPr="00DE0914">
        <w:rPr>
          <w:b/>
        </w:rPr>
        <w:t xml:space="preserve">imiting </w:t>
      </w:r>
      <w:r>
        <w:rPr>
          <w:b/>
        </w:rPr>
        <w:t>R</w:t>
      </w:r>
      <w:r w:rsidRPr="00DE0914">
        <w:rPr>
          <w:b/>
        </w:rPr>
        <w:t>eactant</w:t>
      </w:r>
      <w:r>
        <w:rPr>
          <w:b/>
        </w:rPr>
        <w:t xml:space="preserve"> (Trial 2)</w:t>
      </w:r>
    </w:p>
    <w:p w14:paraId="6B8C93C5" w14:textId="77777777" w:rsidR="006A0CB7" w:rsidRDefault="006A0CB7" w:rsidP="006F3BED">
      <w:pPr>
        <w:keepNext w:val="0"/>
        <w:numPr>
          <w:ilvl w:val="1"/>
          <w:numId w:val="8"/>
        </w:numPr>
        <w:spacing w:before="240" w:after="0" w:line="276" w:lineRule="auto"/>
        <w:contextualSpacing/>
        <w:rPr>
          <w:b/>
        </w:rPr>
      </w:pPr>
      <w:r>
        <w:t xml:space="preserve">Convert the masses of the reactants to moles and record them in the data table. </w:t>
      </w:r>
    </w:p>
    <w:p w14:paraId="0B0DE79A" w14:textId="77777777" w:rsidR="006A0CB7" w:rsidRPr="00167383" w:rsidRDefault="006A0CB7" w:rsidP="006F3BED">
      <w:pPr>
        <w:keepNext w:val="0"/>
        <w:numPr>
          <w:ilvl w:val="1"/>
          <w:numId w:val="8"/>
        </w:numPr>
        <w:spacing w:before="240" w:after="0" w:line="276" w:lineRule="auto"/>
        <w:contextualSpacing/>
        <w:rPr>
          <w:b/>
        </w:rPr>
      </w:pPr>
      <w:r>
        <w:t>Determine the limiting reactant. Give reasons based on both observation and computation.</w:t>
      </w:r>
      <w:r>
        <w:br/>
      </w:r>
    </w:p>
    <w:p w14:paraId="2F7ABC50" w14:textId="77777777" w:rsidR="006A0CB7" w:rsidRDefault="006A0CB7" w:rsidP="006F3BED">
      <w:pPr>
        <w:keepNext w:val="0"/>
        <w:numPr>
          <w:ilvl w:val="0"/>
          <w:numId w:val="8"/>
        </w:numPr>
        <w:spacing w:before="240" w:after="0" w:line="360" w:lineRule="auto"/>
        <w:contextualSpacing/>
      </w:pPr>
      <w:r>
        <w:rPr>
          <w:b/>
        </w:rPr>
        <w:t>Set Up the Filter System</w:t>
      </w:r>
    </w:p>
    <w:p w14:paraId="129719D7" w14:textId="77777777" w:rsidR="006A0CB7" w:rsidRDefault="006A0CB7" w:rsidP="006F3BED">
      <w:pPr>
        <w:keepNext w:val="0"/>
        <w:numPr>
          <w:ilvl w:val="1"/>
          <w:numId w:val="8"/>
        </w:numPr>
        <w:spacing w:before="240" w:after="0" w:line="276" w:lineRule="auto"/>
        <w:contextualSpacing/>
      </w:pPr>
      <w:r>
        <w:t>Use a pencil to mark a piece of filter paper with your name</w:t>
      </w:r>
      <w:r w:rsidRPr="00D15994">
        <w:rPr>
          <w:i/>
        </w:rPr>
        <w:t>.</w:t>
      </w:r>
    </w:p>
    <w:p w14:paraId="49C6F93D" w14:textId="2FCCAF85" w:rsidR="006A0CB7" w:rsidRDefault="006A0CB7" w:rsidP="006F3BED">
      <w:pPr>
        <w:keepNext w:val="0"/>
        <w:numPr>
          <w:ilvl w:val="1"/>
          <w:numId w:val="8"/>
        </w:numPr>
        <w:spacing w:before="240" w:after="0" w:line="276" w:lineRule="auto"/>
        <w:contextualSpacing/>
      </w:pPr>
      <w:r>
        <w:t xml:space="preserve">Find the mass of the filter paper to the nearest hundredth of a gram. Record it in the </w:t>
      </w:r>
      <w:r w:rsidR="00AB02BC">
        <w:br/>
      </w:r>
      <w:r>
        <w:t>data table.</w:t>
      </w:r>
    </w:p>
    <w:p w14:paraId="71547279" w14:textId="057D8E48" w:rsidR="006A0CB7" w:rsidRPr="000E7927" w:rsidRDefault="006A0CB7" w:rsidP="006F3BED">
      <w:pPr>
        <w:keepNext w:val="0"/>
        <w:numPr>
          <w:ilvl w:val="1"/>
          <w:numId w:val="8"/>
        </w:numPr>
        <w:spacing w:before="240" w:after="0" w:line="276" w:lineRule="auto"/>
        <w:contextualSpacing/>
      </w:pPr>
      <w:r>
        <w:t xml:space="preserve">Put the filter paper in a funnel, then place the funnel in the mouth of a 250 mL </w:t>
      </w:r>
      <w:r w:rsidR="00AB02BC">
        <w:br/>
      </w:r>
      <w:r>
        <w:t>Erlenmeyer flask so that liquid can drain into the flask.</w:t>
      </w:r>
      <w:r>
        <w:br/>
      </w:r>
    </w:p>
    <w:p w14:paraId="4FB87994" w14:textId="77777777" w:rsidR="006A0CB7" w:rsidRDefault="006A0CB7" w:rsidP="006F3BED">
      <w:pPr>
        <w:keepNext w:val="0"/>
        <w:numPr>
          <w:ilvl w:val="0"/>
          <w:numId w:val="8"/>
        </w:numPr>
        <w:spacing w:before="240" w:after="0" w:line="360" w:lineRule="auto"/>
        <w:contextualSpacing/>
      </w:pPr>
      <w:r>
        <w:rPr>
          <w:b/>
        </w:rPr>
        <w:t>Recover the Solid Product, Copper</w:t>
      </w:r>
    </w:p>
    <w:p w14:paraId="731CF2B6" w14:textId="77777777" w:rsidR="006A0CB7" w:rsidRDefault="006A0CB7" w:rsidP="006F3BED">
      <w:pPr>
        <w:keepNext w:val="0"/>
        <w:numPr>
          <w:ilvl w:val="1"/>
          <w:numId w:val="8"/>
        </w:numPr>
        <w:spacing w:before="240" w:after="0" w:line="276" w:lineRule="auto"/>
        <w:contextualSpacing/>
      </w:pPr>
      <w:r>
        <w:t>Pour the contents of the beaker into the filtering setup.</w:t>
      </w:r>
    </w:p>
    <w:p w14:paraId="3898290D" w14:textId="77777777" w:rsidR="006A0CB7" w:rsidRDefault="006A0CB7" w:rsidP="006F3BED">
      <w:pPr>
        <w:keepNext w:val="0"/>
        <w:numPr>
          <w:ilvl w:val="1"/>
          <w:numId w:val="8"/>
        </w:numPr>
        <w:spacing w:before="240" w:after="0" w:line="276" w:lineRule="auto"/>
        <w:contextualSpacing/>
      </w:pPr>
      <w:r>
        <w:t xml:space="preserve">Use distilled water from a wash bottle to further rinse the sample, allowing the liquid to drain to the flask while retaining the copper in the filter. </w:t>
      </w:r>
    </w:p>
    <w:p w14:paraId="406BB828" w14:textId="77777777" w:rsidR="006A0CB7" w:rsidRDefault="006A0CB7" w:rsidP="006F3BED">
      <w:pPr>
        <w:keepNext w:val="0"/>
        <w:numPr>
          <w:ilvl w:val="1"/>
          <w:numId w:val="8"/>
        </w:numPr>
        <w:spacing w:before="240" w:after="0" w:line="276" w:lineRule="auto"/>
        <w:contextualSpacing/>
      </w:pPr>
      <w:r>
        <w:t>Dry the copper on a watch glass overnight.</w:t>
      </w:r>
    </w:p>
    <w:p w14:paraId="7F84A79A" w14:textId="77777777" w:rsidR="006A0CB7" w:rsidRDefault="006A0CB7" w:rsidP="006F3BED">
      <w:pPr>
        <w:keepNext w:val="0"/>
        <w:numPr>
          <w:ilvl w:val="1"/>
          <w:numId w:val="8"/>
        </w:numPr>
        <w:spacing w:before="240" w:after="0" w:line="276" w:lineRule="auto"/>
        <w:contextualSpacing/>
      </w:pPr>
      <w:r>
        <w:t>F</w:t>
      </w:r>
      <w:r w:rsidRPr="00DF3F40">
        <w:t>ind the mass of the filter paper and</w:t>
      </w:r>
      <w:r>
        <w:t xml:space="preserve"> its</w:t>
      </w:r>
      <w:r w:rsidRPr="00DF3F40">
        <w:t xml:space="preserve"> contents</w:t>
      </w:r>
      <w:r>
        <w:t>.</w:t>
      </w:r>
      <w:r>
        <w:br/>
      </w:r>
    </w:p>
    <w:p w14:paraId="1F1EAD51" w14:textId="77777777" w:rsidR="006A0CB7" w:rsidRDefault="006A0CB7" w:rsidP="006F3BED">
      <w:pPr>
        <w:keepNext w:val="0"/>
        <w:numPr>
          <w:ilvl w:val="0"/>
          <w:numId w:val="8"/>
        </w:numPr>
        <w:spacing w:before="240" w:line="360" w:lineRule="auto"/>
        <w:contextualSpacing/>
        <w:rPr>
          <w:b/>
        </w:rPr>
      </w:pPr>
      <w:r>
        <w:rPr>
          <w:b/>
        </w:rPr>
        <w:t>Complete</w:t>
      </w:r>
      <w:r w:rsidRPr="00B853AE">
        <w:rPr>
          <w:b/>
        </w:rPr>
        <w:t xml:space="preserve"> Calculations to Fill in the Remainder of the Data Table</w:t>
      </w:r>
    </w:p>
    <w:p w14:paraId="76EBC554" w14:textId="77777777" w:rsidR="006A0CB7" w:rsidRDefault="006A0CB7" w:rsidP="006F3BED">
      <w:pPr>
        <w:keepNext w:val="0"/>
        <w:numPr>
          <w:ilvl w:val="1"/>
          <w:numId w:val="8"/>
        </w:numPr>
        <w:spacing w:before="240" w:after="0" w:line="276" w:lineRule="auto"/>
        <w:contextualSpacing/>
      </w:pPr>
      <w:r>
        <w:t>Subtract the mass of the filter paper from the mass of the paper and copper. R</w:t>
      </w:r>
      <w:r w:rsidRPr="00DF3F40">
        <w:t xml:space="preserve">ecord </w:t>
      </w:r>
      <w:r>
        <w:t>the difference in the data table as the amount of copper.</w:t>
      </w:r>
    </w:p>
    <w:p w14:paraId="4DFE1D9A" w14:textId="65EF980A" w:rsidR="006A0CB7" w:rsidRDefault="006A0CB7" w:rsidP="006F3BED">
      <w:pPr>
        <w:keepNext w:val="0"/>
        <w:numPr>
          <w:ilvl w:val="1"/>
          <w:numId w:val="8"/>
        </w:numPr>
        <w:spacing w:before="240" w:after="0" w:line="276" w:lineRule="auto"/>
        <w:contextualSpacing/>
      </w:pPr>
      <w:r w:rsidRPr="00C33B33">
        <w:t xml:space="preserve">Convert mass to moles for </w:t>
      </w:r>
      <w:r>
        <w:t>all three masses you measured</w:t>
      </w:r>
      <w:r w:rsidRPr="00C33B33">
        <w:t xml:space="preserve">. Remember, you can do so </w:t>
      </w:r>
      <w:r w:rsidR="00AB02BC">
        <w:br/>
      </w:r>
      <w:r w:rsidRPr="00C33B33">
        <w:t>by using a proportion, using stoichiometry, or dividing the mass by the molar mass.</w:t>
      </w:r>
    </w:p>
    <w:p w14:paraId="28C280FA" w14:textId="77777777" w:rsidR="006A0CB7" w:rsidRDefault="006A0CB7" w:rsidP="006F3BED">
      <w:pPr>
        <w:keepNext w:val="0"/>
        <w:numPr>
          <w:ilvl w:val="1"/>
          <w:numId w:val="8"/>
        </w:numPr>
        <w:spacing w:before="240" w:after="0" w:line="276" w:lineRule="auto"/>
        <w:contextualSpacing/>
      </w:pPr>
      <w:r w:rsidRPr="001A2602">
        <w:t xml:space="preserve">Determine the theoretical yield of copper based on the </w:t>
      </w:r>
      <w:r>
        <w:t xml:space="preserve">number of moles of the </w:t>
      </w:r>
      <w:r w:rsidRPr="001A2602">
        <w:t>limiting reactant, aluminum.</w:t>
      </w:r>
    </w:p>
    <w:p w14:paraId="48DABD1A" w14:textId="77777777" w:rsidR="006A0CB7" w:rsidRPr="00C33B33" w:rsidRDefault="006A0CB7" w:rsidP="006F3BED">
      <w:pPr>
        <w:keepNext w:val="0"/>
        <w:numPr>
          <w:ilvl w:val="1"/>
          <w:numId w:val="8"/>
        </w:numPr>
        <w:spacing w:before="240" w:after="0" w:line="276" w:lineRule="auto"/>
        <w:contextualSpacing/>
      </w:pPr>
      <w:r w:rsidRPr="00113331">
        <w:t>Determine the percent yield of copper by dividing the actual yield (in moles) by the theoretical yield (in moles).</w:t>
      </w:r>
      <w:r>
        <w:br/>
      </w:r>
    </w:p>
    <w:p w14:paraId="0A9576D3" w14:textId="77777777" w:rsidR="006A0CB7" w:rsidRPr="00B853AE" w:rsidRDefault="006A0CB7" w:rsidP="006F3BED">
      <w:pPr>
        <w:keepNext w:val="0"/>
        <w:numPr>
          <w:ilvl w:val="0"/>
          <w:numId w:val="8"/>
        </w:numPr>
        <w:spacing w:before="240" w:after="0" w:line="276" w:lineRule="auto"/>
        <w:contextualSpacing/>
        <w:rPr>
          <w:b/>
        </w:rPr>
      </w:pPr>
      <w:r w:rsidRPr="00B853AE">
        <w:rPr>
          <w:b/>
        </w:rPr>
        <w:t xml:space="preserve">Dispose of </w:t>
      </w:r>
      <w:r>
        <w:rPr>
          <w:b/>
        </w:rPr>
        <w:t>A</w:t>
      </w:r>
      <w:r w:rsidRPr="00B853AE">
        <w:rPr>
          <w:b/>
        </w:rPr>
        <w:t>ll Materials in Bulk Containers Provided by Your Teacher</w:t>
      </w:r>
    </w:p>
    <w:p w14:paraId="17CC2B8A" w14:textId="50948135" w:rsidR="00854DB7" w:rsidRPr="00D250A1" w:rsidRDefault="00854DB7" w:rsidP="00A20EFB">
      <w:pPr>
        <w:pStyle w:val="Heading1"/>
        <w:spacing w:before="0"/>
      </w:pPr>
      <w:r w:rsidRPr="00FA23D6">
        <w:rPr>
          <w:color w:val="auto"/>
        </w:rPr>
        <w:lastRenderedPageBreak/>
        <w:t>Data</w:t>
      </w:r>
      <w:r w:rsidR="008B16DA">
        <w:rPr>
          <w:color w:val="auto"/>
        </w:rPr>
        <w:t xml:space="preserve"> (Trial 1)</w:t>
      </w:r>
    </w:p>
    <w:p w14:paraId="6EE36E65" w14:textId="77777777" w:rsidR="008B16DA" w:rsidRPr="007E5843" w:rsidRDefault="008B16DA" w:rsidP="008B16DA">
      <w:pPr>
        <w:rPr>
          <w:b/>
          <w:color w:val="000000"/>
        </w:rPr>
      </w:pPr>
      <w:r w:rsidRPr="007E5843">
        <w:rPr>
          <w:b/>
        </w:rPr>
        <w:t xml:space="preserve">Observations </w:t>
      </w:r>
      <w:r>
        <w:rPr>
          <w:b/>
        </w:rPr>
        <w:t>d</w:t>
      </w:r>
      <w:r w:rsidRPr="007E5843">
        <w:rPr>
          <w:b/>
        </w:rPr>
        <w:t>uring Reaction</w:t>
      </w:r>
      <w:r>
        <w:rPr>
          <w:b/>
        </w:rPr>
        <w:t>:</w:t>
      </w:r>
    </w:p>
    <w:p w14:paraId="28722699" w14:textId="77777777" w:rsidR="008B16DA" w:rsidRDefault="008B16DA" w:rsidP="008B16DA"/>
    <w:tbl>
      <w:tblPr>
        <w:tblStyle w:val="TableGrid"/>
        <w:tblW w:w="9453" w:type="dxa"/>
        <w:tblInd w:w="108" w:type="dxa"/>
        <w:tblLayout w:type="fixed"/>
        <w:tblLook w:val="04A0" w:firstRow="1" w:lastRow="0" w:firstColumn="1" w:lastColumn="0" w:noHBand="0" w:noVBand="1"/>
      </w:tblPr>
      <w:tblGrid>
        <w:gridCol w:w="2250"/>
        <w:gridCol w:w="1179"/>
        <w:gridCol w:w="1565"/>
        <w:gridCol w:w="2386"/>
        <w:gridCol w:w="2073"/>
      </w:tblGrid>
      <w:tr w:rsidR="008B16DA" w:rsidRPr="0022238E" w14:paraId="19A8E1B6" w14:textId="77777777" w:rsidTr="00C858CD">
        <w:trPr>
          <w:trHeight w:val="56"/>
        </w:trPr>
        <w:tc>
          <w:tcPr>
            <w:tcW w:w="2250" w:type="dxa"/>
            <w:tcBorders>
              <w:top w:val="nil"/>
              <w:left w:val="nil"/>
              <w:bottom w:val="single" w:sz="4" w:space="0" w:color="auto"/>
              <w:right w:val="single" w:sz="4" w:space="0" w:color="auto"/>
            </w:tcBorders>
            <w:shd w:val="clear" w:color="auto" w:fill="auto"/>
            <w:vAlign w:val="center"/>
          </w:tcPr>
          <w:p w14:paraId="3E3F8443" w14:textId="77777777" w:rsidR="008B16DA" w:rsidRPr="0022238E" w:rsidRDefault="008B16DA" w:rsidP="00267AE2">
            <w:pPr>
              <w:spacing w:before="120"/>
              <w:jc w:val="center"/>
              <w:rPr>
                <w:b/>
              </w:rPr>
            </w:pPr>
          </w:p>
        </w:tc>
        <w:tc>
          <w:tcPr>
            <w:tcW w:w="7203" w:type="dxa"/>
            <w:gridSpan w:val="4"/>
            <w:tcBorders>
              <w:top w:val="single" w:sz="4" w:space="0" w:color="auto"/>
              <w:left w:val="single" w:sz="4" w:space="0" w:color="auto"/>
              <w:bottom w:val="single" w:sz="4" w:space="0" w:color="auto"/>
            </w:tcBorders>
            <w:shd w:val="clear" w:color="auto" w:fill="CFE7ED" w:themeFill="accent1" w:themeFillTint="33"/>
            <w:vAlign w:val="center"/>
          </w:tcPr>
          <w:p w14:paraId="25C1DF86" w14:textId="775F6828" w:rsidR="008B16DA" w:rsidRPr="00CD6D71" w:rsidRDefault="008B16DA" w:rsidP="00267AE2">
            <w:pPr>
              <w:tabs>
                <w:tab w:val="left" w:pos="162"/>
                <w:tab w:val="left" w:pos="1242"/>
                <w:tab w:val="left" w:pos="1962"/>
                <w:tab w:val="left" w:pos="2772"/>
                <w:tab w:val="left" w:pos="4122"/>
                <w:tab w:val="left" w:pos="6012"/>
                <w:tab w:val="left" w:pos="6282"/>
              </w:tabs>
              <w:spacing w:before="120"/>
              <w:rPr>
                <w:b/>
              </w:rPr>
            </w:pPr>
            <w:r w:rsidRPr="008B16DA">
              <w:rPr>
                <w:b/>
                <w:shd w:val="clear" w:color="auto" w:fill="CFE7ED" w:themeFill="accent1" w:themeFillTint="33"/>
              </w:rPr>
              <w:t>3CuCl</w:t>
            </w:r>
            <w:r w:rsidRPr="008B16DA">
              <w:rPr>
                <w:b/>
                <w:shd w:val="clear" w:color="auto" w:fill="CFE7ED" w:themeFill="accent1" w:themeFillTint="33"/>
                <w:vertAlign w:val="subscript"/>
              </w:rPr>
              <w:t>2</w:t>
            </w:r>
            <w:r w:rsidRPr="008B16DA">
              <w:rPr>
                <w:b/>
                <w:shd w:val="clear" w:color="auto" w:fill="CFE7ED" w:themeFill="accent1" w:themeFillTint="33"/>
              </w:rPr>
              <w:t>(aq)</w:t>
            </w:r>
            <w:r w:rsidR="00C858CD">
              <w:rPr>
                <w:b/>
                <w:shd w:val="clear" w:color="auto" w:fill="CFE7ED" w:themeFill="accent1" w:themeFillTint="33"/>
              </w:rPr>
              <w:t xml:space="preserve">  </w:t>
            </w:r>
            <w:r w:rsidRPr="008B16DA">
              <w:rPr>
                <w:b/>
                <w:shd w:val="clear" w:color="auto" w:fill="CFE7ED" w:themeFill="accent1" w:themeFillTint="33"/>
              </w:rPr>
              <w:t>+</w:t>
            </w:r>
            <w:r w:rsidR="00C858CD">
              <w:rPr>
                <w:b/>
                <w:shd w:val="clear" w:color="auto" w:fill="CFE7ED" w:themeFill="accent1" w:themeFillTint="33"/>
              </w:rPr>
              <w:t xml:space="preserve">   </w:t>
            </w:r>
            <w:r w:rsidRPr="008B16DA">
              <w:rPr>
                <w:b/>
                <w:shd w:val="clear" w:color="auto" w:fill="CFE7ED" w:themeFill="accent1" w:themeFillTint="33"/>
              </w:rPr>
              <w:t>2Al</w:t>
            </w:r>
            <w:r w:rsidR="00C858CD">
              <w:rPr>
                <w:b/>
                <w:shd w:val="clear" w:color="auto" w:fill="CFE7ED" w:themeFill="accent1" w:themeFillTint="33"/>
              </w:rPr>
              <w:t xml:space="preserve">(s)     </w:t>
            </w:r>
            <w:r w:rsidRPr="008B16DA">
              <w:rPr>
                <w:b/>
                <w:shd w:val="clear" w:color="auto" w:fill="CFE7ED" w:themeFill="accent1" w:themeFillTint="33"/>
              </w:rPr>
              <w:sym w:font="Symbol" w:char="F0AE"/>
            </w:r>
            <w:r w:rsidR="00C858CD">
              <w:rPr>
                <w:b/>
                <w:shd w:val="clear" w:color="auto" w:fill="CFE7ED" w:themeFill="accent1" w:themeFillTint="33"/>
              </w:rPr>
              <w:t xml:space="preserve">           </w:t>
            </w:r>
            <w:r w:rsidRPr="008B16DA">
              <w:rPr>
                <w:b/>
                <w:shd w:val="clear" w:color="auto" w:fill="CFE7ED" w:themeFill="accent1" w:themeFillTint="33"/>
              </w:rPr>
              <w:t xml:space="preserve">3Cu(s)    </w:t>
            </w:r>
            <w:r w:rsidR="00C858CD">
              <w:rPr>
                <w:b/>
                <w:shd w:val="clear" w:color="auto" w:fill="CFE7ED" w:themeFill="accent1" w:themeFillTint="33"/>
              </w:rPr>
              <w:t xml:space="preserve">                </w:t>
            </w:r>
            <w:r w:rsidRPr="008B16DA">
              <w:rPr>
                <w:b/>
                <w:shd w:val="clear" w:color="auto" w:fill="CFE7ED" w:themeFill="accent1" w:themeFillTint="33"/>
              </w:rPr>
              <w:t>+2AlCl</w:t>
            </w:r>
            <w:r w:rsidRPr="008B16DA">
              <w:rPr>
                <w:b/>
                <w:shd w:val="clear" w:color="auto" w:fill="CFE7ED" w:themeFill="accent1" w:themeFillTint="33"/>
                <w:vertAlign w:val="subscript"/>
              </w:rPr>
              <w:t>3</w:t>
            </w:r>
            <w:r w:rsidRPr="008B16DA">
              <w:rPr>
                <w:b/>
                <w:shd w:val="clear" w:color="auto" w:fill="CFE7ED" w:themeFill="accent1" w:themeFillTint="33"/>
              </w:rPr>
              <w:t>(aq)</w:t>
            </w:r>
          </w:p>
        </w:tc>
      </w:tr>
      <w:tr w:rsidR="008B16DA" w14:paraId="7C25EE0C" w14:textId="77777777" w:rsidTr="00C858CD">
        <w:trPr>
          <w:trHeight w:val="534"/>
        </w:trPr>
        <w:tc>
          <w:tcPr>
            <w:tcW w:w="2250" w:type="dxa"/>
            <w:tcBorders>
              <w:bottom w:val="single" w:sz="4" w:space="0" w:color="auto"/>
            </w:tcBorders>
            <w:shd w:val="clear" w:color="auto" w:fill="CFE7ED" w:themeFill="accent1" w:themeFillTint="33"/>
            <w:vAlign w:val="center"/>
          </w:tcPr>
          <w:p w14:paraId="7EE7C846" w14:textId="77777777" w:rsidR="008B16DA" w:rsidRPr="00887654" w:rsidRDefault="008B16DA" w:rsidP="00267AE2">
            <w:pPr>
              <w:spacing w:before="80" w:after="80"/>
              <w:jc w:val="right"/>
              <w:rPr>
                <w:b/>
              </w:rPr>
            </w:pPr>
            <w:r>
              <w:rPr>
                <w:b/>
              </w:rPr>
              <w:t xml:space="preserve">Measured </w:t>
            </w:r>
            <w:r w:rsidRPr="00887654">
              <w:rPr>
                <w:b/>
              </w:rPr>
              <w:t>Mass</w:t>
            </w:r>
            <w:r>
              <w:rPr>
                <w:b/>
              </w:rPr>
              <w:t xml:space="preserve"> (g)</w:t>
            </w:r>
          </w:p>
        </w:tc>
        <w:tc>
          <w:tcPr>
            <w:tcW w:w="1179" w:type="dxa"/>
            <w:tcBorders>
              <w:bottom w:val="single" w:sz="4" w:space="0" w:color="auto"/>
            </w:tcBorders>
            <w:vAlign w:val="center"/>
          </w:tcPr>
          <w:p w14:paraId="1CFB185F" w14:textId="77777777" w:rsidR="008B16DA" w:rsidRPr="00C62812" w:rsidRDefault="008B16DA" w:rsidP="00267AE2">
            <w:pPr>
              <w:spacing w:before="80" w:after="80"/>
              <w:jc w:val="center"/>
              <w:rPr>
                <w:b/>
                <w:color w:val="F4473C" w:themeColor="accent6"/>
              </w:rPr>
            </w:pPr>
          </w:p>
        </w:tc>
        <w:tc>
          <w:tcPr>
            <w:tcW w:w="1565" w:type="dxa"/>
            <w:tcBorders>
              <w:bottom w:val="single" w:sz="4" w:space="0" w:color="auto"/>
              <w:right w:val="single" w:sz="24" w:space="0" w:color="auto"/>
            </w:tcBorders>
            <w:vAlign w:val="center"/>
          </w:tcPr>
          <w:p w14:paraId="67E2C090" w14:textId="77777777" w:rsidR="008B16DA" w:rsidRPr="00C62812" w:rsidRDefault="008B16DA" w:rsidP="00267AE2">
            <w:pPr>
              <w:spacing w:before="80" w:after="80"/>
              <w:jc w:val="center"/>
              <w:rPr>
                <w:b/>
                <w:color w:val="F4473C" w:themeColor="accent6"/>
              </w:rPr>
            </w:pPr>
          </w:p>
        </w:tc>
        <w:tc>
          <w:tcPr>
            <w:tcW w:w="2386" w:type="dxa"/>
            <w:tcBorders>
              <w:left w:val="single" w:sz="24" w:space="0" w:color="auto"/>
              <w:bottom w:val="single" w:sz="4" w:space="0" w:color="auto"/>
            </w:tcBorders>
            <w:shd w:val="clear" w:color="auto" w:fill="D9D9D9" w:themeFill="background1" w:themeFillShade="D9"/>
            <w:vAlign w:val="center"/>
          </w:tcPr>
          <w:p w14:paraId="01023C2B" w14:textId="77777777" w:rsidR="008B16DA" w:rsidRPr="003C437A" w:rsidRDefault="008B16DA" w:rsidP="00267AE2">
            <w:pPr>
              <w:tabs>
                <w:tab w:val="left" w:pos="1782"/>
                <w:tab w:val="left" w:pos="2682"/>
              </w:tabs>
              <w:spacing w:before="80" w:after="80"/>
              <w:jc w:val="center"/>
            </w:pPr>
            <w:r>
              <w:t>N/A</w:t>
            </w:r>
          </w:p>
        </w:tc>
        <w:tc>
          <w:tcPr>
            <w:tcW w:w="2073" w:type="dxa"/>
            <w:tcBorders>
              <w:bottom w:val="single" w:sz="4" w:space="0" w:color="auto"/>
              <w:tr2bl w:val="nil"/>
            </w:tcBorders>
            <w:shd w:val="clear" w:color="auto" w:fill="D9D9D9" w:themeFill="background1" w:themeFillShade="D9"/>
            <w:vAlign w:val="center"/>
          </w:tcPr>
          <w:p w14:paraId="4DCAE7A8" w14:textId="77777777" w:rsidR="008B16DA" w:rsidRDefault="008B16DA" w:rsidP="00267AE2">
            <w:pPr>
              <w:spacing w:before="80" w:after="80"/>
              <w:jc w:val="center"/>
            </w:pPr>
            <w:r>
              <w:t>N/A</w:t>
            </w:r>
          </w:p>
        </w:tc>
      </w:tr>
      <w:tr w:rsidR="008B16DA" w14:paraId="3CE66BC7" w14:textId="77777777" w:rsidTr="00C858CD">
        <w:trPr>
          <w:trHeight w:val="534"/>
        </w:trPr>
        <w:tc>
          <w:tcPr>
            <w:tcW w:w="2250" w:type="dxa"/>
            <w:tcBorders>
              <w:bottom w:val="single" w:sz="4" w:space="0" w:color="auto"/>
            </w:tcBorders>
            <w:shd w:val="clear" w:color="auto" w:fill="CFE7ED" w:themeFill="accent1" w:themeFillTint="33"/>
            <w:vAlign w:val="center"/>
          </w:tcPr>
          <w:p w14:paraId="562A3BBE" w14:textId="62C87208" w:rsidR="008B16DA" w:rsidRPr="00C858CD" w:rsidRDefault="008B16DA" w:rsidP="00267AE2">
            <w:pPr>
              <w:spacing w:before="80" w:after="80"/>
              <w:ind w:left="-108"/>
              <w:jc w:val="right"/>
              <w:rPr>
                <w:b/>
              </w:rPr>
            </w:pPr>
            <w:r w:rsidRPr="00C858CD">
              <w:rPr>
                <w:b/>
              </w:rPr>
              <w:t xml:space="preserve">Molar Mass </w:t>
            </w:r>
            <m:oMath>
              <m:d>
                <m:dPr>
                  <m:ctrlPr>
                    <w:rPr>
                      <w:rFonts w:ascii="Cambria Math" w:hAnsi="Cambria Math" w:cstheme="minorHAnsi"/>
                      <w:b/>
                      <w:sz w:val="24"/>
                    </w:rPr>
                  </m:ctrlPr>
                </m:dPr>
                <m:e>
                  <m:f>
                    <m:fPr>
                      <m:ctrlPr>
                        <w:rPr>
                          <w:rFonts w:ascii="Cambria Math" w:hAnsi="Cambria Math" w:cstheme="minorHAnsi"/>
                          <w:b/>
                          <w:sz w:val="24"/>
                        </w:rPr>
                      </m:ctrlPr>
                    </m:fPr>
                    <m:num>
                      <m:r>
                        <m:rPr>
                          <m:nor/>
                        </m:rPr>
                        <w:rPr>
                          <w:rFonts w:asciiTheme="minorHAnsi" w:hAnsiTheme="minorHAnsi" w:cstheme="minorHAnsi"/>
                          <w:b/>
                          <w:sz w:val="24"/>
                        </w:rPr>
                        <m:t>g</m:t>
                      </m:r>
                    </m:num>
                    <m:den>
                      <m:r>
                        <m:rPr>
                          <m:nor/>
                        </m:rPr>
                        <w:rPr>
                          <w:rFonts w:asciiTheme="minorHAnsi" w:hAnsiTheme="minorHAnsi" w:cstheme="minorHAnsi"/>
                          <w:b/>
                          <w:sz w:val="24"/>
                        </w:rPr>
                        <m:t>mol</m:t>
                      </m:r>
                    </m:den>
                  </m:f>
                </m:e>
              </m:d>
            </m:oMath>
            <w:r w:rsidRPr="00C858CD">
              <w:rPr>
                <w:b/>
              </w:rPr>
              <w:t xml:space="preserve"> </w:t>
            </w:r>
          </w:p>
        </w:tc>
        <w:tc>
          <w:tcPr>
            <w:tcW w:w="1179" w:type="dxa"/>
            <w:vAlign w:val="center"/>
          </w:tcPr>
          <w:p w14:paraId="2D42CBC1" w14:textId="77777777" w:rsidR="008B16DA" w:rsidRDefault="008B16DA" w:rsidP="00267AE2">
            <w:pPr>
              <w:spacing w:before="80" w:after="80"/>
              <w:jc w:val="center"/>
            </w:pPr>
            <w:r>
              <w:t>134.45</w:t>
            </w:r>
          </w:p>
        </w:tc>
        <w:tc>
          <w:tcPr>
            <w:tcW w:w="1565" w:type="dxa"/>
            <w:tcBorders>
              <w:right w:val="single" w:sz="24" w:space="0" w:color="auto"/>
            </w:tcBorders>
            <w:vAlign w:val="center"/>
          </w:tcPr>
          <w:p w14:paraId="768F7BE2" w14:textId="77777777" w:rsidR="008B16DA" w:rsidRDefault="008B16DA" w:rsidP="00267AE2">
            <w:pPr>
              <w:spacing w:before="80" w:after="80"/>
              <w:jc w:val="center"/>
            </w:pPr>
            <w:r>
              <w:t>26.98</w:t>
            </w:r>
          </w:p>
        </w:tc>
        <w:tc>
          <w:tcPr>
            <w:tcW w:w="2386" w:type="dxa"/>
            <w:tcBorders>
              <w:left w:val="single" w:sz="24" w:space="0" w:color="auto"/>
            </w:tcBorders>
            <w:shd w:val="clear" w:color="auto" w:fill="D9D9D9" w:themeFill="background1" w:themeFillShade="D9"/>
            <w:vAlign w:val="center"/>
          </w:tcPr>
          <w:p w14:paraId="799085F5" w14:textId="77777777" w:rsidR="008B16DA" w:rsidRDefault="008B16DA" w:rsidP="00267AE2">
            <w:pPr>
              <w:spacing w:before="80" w:after="80"/>
              <w:jc w:val="center"/>
            </w:pPr>
            <w:r>
              <w:t>N/A</w:t>
            </w:r>
          </w:p>
        </w:tc>
        <w:tc>
          <w:tcPr>
            <w:tcW w:w="2073" w:type="dxa"/>
            <w:tcBorders>
              <w:tr2bl w:val="nil"/>
            </w:tcBorders>
            <w:shd w:val="clear" w:color="auto" w:fill="D9D9D9" w:themeFill="background1" w:themeFillShade="D9"/>
            <w:vAlign w:val="center"/>
          </w:tcPr>
          <w:p w14:paraId="387007C2" w14:textId="77777777" w:rsidR="008B16DA" w:rsidRDefault="008B16DA" w:rsidP="00267AE2">
            <w:pPr>
              <w:spacing w:before="80" w:after="80"/>
              <w:jc w:val="center"/>
            </w:pPr>
            <w:r>
              <w:t>N/A</w:t>
            </w:r>
          </w:p>
        </w:tc>
      </w:tr>
      <w:tr w:rsidR="008B16DA" w14:paraId="612C3792" w14:textId="77777777" w:rsidTr="00C858CD">
        <w:trPr>
          <w:trHeight w:val="534"/>
        </w:trPr>
        <w:tc>
          <w:tcPr>
            <w:tcW w:w="2250" w:type="dxa"/>
            <w:tcBorders>
              <w:top w:val="single" w:sz="4" w:space="0" w:color="auto"/>
              <w:bottom w:val="single" w:sz="4" w:space="0" w:color="auto"/>
            </w:tcBorders>
            <w:shd w:val="clear" w:color="auto" w:fill="CFE7ED" w:themeFill="accent1" w:themeFillTint="33"/>
            <w:vAlign w:val="center"/>
          </w:tcPr>
          <w:p w14:paraId="6EC18403" w14:textId="77777777" w:rsidR="008B16DA" w:rsidRPr="00887654" w:rsidRDefault="008B16DA" w:rsidP="00267AE2">
            <w:pPr>
              <w:spacing w:before="80" w:after="80"/>
              <w:jc w:val="right"/>
              <w:rPr>
                <w:b/>
              </w:rPr>
            </w:pPr>
            <w:r>
              <w:rPr>
                <w:b/>
              </w:rPr>
              <w:t xml:space="preserve">Actual </w:t>
            </w:r>
            <w:r w:rsidRPr="00887654">
              <w:rPr>
                <w:b/>
              </w:rPr>
              <w:t>Moles</w:t>
            </w:r>
            <w:r>
              <w:rPr>
                <w:b/>
              </w:rPr>
              <w:t xml:space="preserve"> (mol)</w:t>
            </w:r>
          </w:p>
        </w:tc>
        <w:tc>
          <w:tcPr>
            <w:tcW w:w="1179" w:type="dxa"/>
            <w:tcBorders>
              <w:top w:val="single" w:sz="4" w:space="0" w:color="auto"/>
              <w:bottom w:val="single" w:sz="4" w:space="0" w:color="auto"/>
            </w:tcBorders>
            <w:vAlign w:val="center"/>
          </w:tcPr>
          <w:p w14:paraId="10F25550" w14:textId="77777777" w:rsidR="008B16DA" w:rsidRDefault="008B16DA" w:rsidP="00267AE2">
            <w:pPr>
              <w:spacing w:before="80" w:after="80"/>
              <w:jc w:val="center"/>
            </w:pPr>
          </w:p>
        </w:tc>
        <w:tc>
          <w:tcPr>
            <w:tcW w:w="1565" w:type="dxa"/>
            <w:tcBorders>
              <w:top w:val="single" w:sz="4" w:space="0" w:color="auto"/>
              <w:bottom w:val="single" w:sz="4" w:space="0" w:color="auto"/>
              <w:right w:val="single" w:sz="24" w:space="0" w:color="auto"/>
            </w:tcBorders>
            <w:vAlign w:val="center"/>
          </w:tcPr>
          <w:p w14:paraId="3BBF9908" w14:textId="77777777" w:rsidR="008B16DA" w:rsidRDefault="008B16DA" w:rsidP="00267AE2">
            <w:pPr>
              <w:spacing w:before="80" w:after="80"/>
              <w:jc w:val="center"/>
            </w:pPr>
          </w:p>
        </w:tc>
        <w:tc>
          <w:tcPr>
            <w:tcW w:w="2386" w:type="dxa"/>
            <w:tcBorders>
              <w:top w:val="single" w:sz="4" w:space="0" w:color="auto"/>
              <w:left w:val="single" w:sz="24" w:space="0" w:color="auto"/>
              <w:bottom w:val="single" w:sz="4" w:space="0" w:color="auto"/>
            </w:tcBorders>
            <w:shd w:val="clear" w:color="auto" w:fill="D9D9D9" w:themeFill="background1" w:themeFillShade="D9"/>
            <w:vAlign w:val="center"/>
          </w:tcPr>
          <w:p w14:paraId="405E9FDF" w14:textId="77777777" w:rsidR="008B16DA" w:rsidRDefault="008B16DA" w:rsidP="00267AE2">
            <w:pPr>
              <w:spacing w:before="80" w:after="80"/>
              <w:jc w:val="center"/>
            </w:pPr>
            <w:r>
              <w:t>N/A</w:t>
            </w:r>
          </w:p>
        </w:tc>
        <w:tc>
          <w:tcPr>
            <w:tcW w:w="2073" w:type="dxa"/>
            <w:tcBorders>
              <w:top w:val="single" w:sz="4" w:space="0" w:color="auto"/>
              <w:bottom w:val="single" w:sz="4" w:space="0" w:color="auto"/>
              <w:tr2bl w:val="nil"/>
            </w:tcBorders>
            <w:shd w:val="clear" w:color="auto" w:fill="D9D9D9" w:themeFill="background1" w:themeFillShade="D9"/>
            <w:vAlign w:val="center"/>
          </w:tcPr>
          <w:p w14:paraId="0928114C" w14:textId="77777777" w:rsidR="008B16DA" w:rsidRDefault="008B16DA" w:rsidP="00267AE2">
            <w:pPr>
              <w:spacing w:before="80" w:after="80"/>
              <w:jc w:val="center"/>
            </w:pPr>
            <w:r>
              <w:t>N/A</w:t>
            </w:r>
          </w:p>
        </w:tc>
      </w:tr>
    </w:tbl>
    <w:p w14:paraId="785CC742" w14:textId="77777777" w:rsidR="008B16DA" w:rsidRDefault="008B16DA" w:rsidP="008B16DA"/>
    <w:p w14:paraId="1A552C69" w14:textId="78329335" w:rsidR="008B16DA" w:rsidRDefault="008B16DA" w:rsidP="008B16DA">
      <w:r w:rsidRPr="007E5843">
        <w:rPr>
          <w:b/>
        </w:rPr>
        <w:t xml:space="preserve">Analysis: </w:t>
      </w:r>
      <w:r>
        <w:t>The l</w:t>
      </w:r>
      <w:r w:rsidRPr="00590DC1">
        <w:t xml:space="preserve">imiting </w:t>
      </w:r>
      <w:r>
        <w:t>r</w:t>
      </w:r>
      <w:r w:rsidRPr="00590DC1">
        <w:t xml:space="preserve">eactant </w:t>
      </w:r>
      <w:r>
        <w:t xml:space="preserve">is </w:t>
      </w:r>
      <w:r>
        <w:rPr>
          <w:u w:val="single"/>
        </w:rPr>
        <w:t>__________</w:t>
      </w:r>
      <w:r w:rsidR="00E572D8">
        <w:rPr>
          <w:u w:val="single"/>
        </w:rPr>
        <w:t>_______</w:t>
      </w:r>
      <w:r w:rsidRPr="00590DC1">
        <w:t xml:space="preserve"> </w:t>
      </w:r>
      <w:r>
        <w:t xml:space="preserve">because . . . </w:t>
      </w:r>
    </w:p>
    <w:p w14:paraId="15350F0F" w14:textId="77777777" w:rsidR="00CA736B" w:rsidRDefault="00CA736B" w:rsidP="008B16DA">
      <w:pPr>
        <w:rPr>
          <w:color w:val="000000"/>
        </w:rPr>
      </w:pPr>
    </w:p>
    <w:p w14:paraId="32196BDE" w14:textId="285C3365" w:rsidR="00CA736B" w:rsidRPr="00D250A1" w:rsidRDefault="00CA736B" w:rsidP="00CA736B">
      <w:pPr>
        <w:pStyle w:val="Heading1"/>
        <w:spacing w:before="0"/>
      </w:pPr>
      <w:r w:rsidRPr="00FA23D6">
        <w:rPr>
          <w:color w:val="auto"/>
        </w:rPr>
        <w:t>Data</w:t>
      </w:r>
      <w:r>
        <w:rPr>
          <w:color w:val="auto"/>
        </w:rPr>
        <w:t xml:space="preserve"> (Trial 2)</w:t>
      </w:r>
    </w:p>
    <w:p w14:paraId="144BFC24" w14:textId="77777777" w:rsidR="00CA736B" w:rsidRPr="007E5843" w:rsidRDefault="00CA736B" w:rsidP="00CA736B">
      <w:pPr>
        <w:rPr>
          <w:b/>
          <w:color w:val="000000"/>
        </w:rPr>
      </w:pPr>
      <w:r w:rsidRPr="007E5843">
        <w:rPr>
          <w:b/>
        </w:rPr>
        <w:t xml:space="preserve">Observations </w:t>
      </w:r>
      <w:r>
        <w:rPr>
          <w:b/>
        </w:rPr>
        <w:t>d</w:t>
      </w:r>
      <w:r w:rsidRPr="007E5843">
        <w:rPr>
          <w:b/>
        </w:rPr>
        <w:t>uring Reaction</w:t>
      </w:r>
      <w:r>
        <w:rPr>
          <w:b/>
        </w:rPr>
        <w:t>:</w:t>
      </w:r>
    </w:p>
    <w:p w14:paraId="67F8A95F" w14:textId="77777777" w:rsidR="00CA736B" w:rsidRDefault="00CA736B" w:rsidP="00CA736B"/>
    <w:tbl>
      <w:tblPr>
        <w:tblStyle w:val="TableGrid"/>
        <w:tblW w:w="9506" w:type="dxa"/>
        <w:tblInd w:w="108" w:type="dxa"/>
        <w:tblLayout w:type="fixed"/>
        <w:tblLook w:val="04A0" w:firstRow="1" w:lastRow="0" w:firstColumn="1" w:lastColumn="0" w:noHBand="0" w:noVBand="1"/>
      </w:tblPr>
      <w:tblGrid>
        <w:gridCol w:w="2250"/>
        <w:gridCol w:w="1198"/>
        <w:gridCol w:w="1574"/>
        <w:gridCol w:w="3228"/>
        <w:gridCol w:w="1256"/>
      </w:tblGrid>
      <w:tr w:rsidR="00CA736B" w:rsidRPr="0022238E" w14:paraId="6600BA34" w14:textId="77777777" w:rsidTr="00C858CD">
        <w:trPr>
          <w:trHeight w:val="77"/>
        </w:trPr>
        <w:tc>
          <w:tcPr>
            <w:tcW w:w="2250" w:type="dxa"/>
            <w:tcBorders>
              <w:top w:val="nil"/>
              <w:left w:val="nil"/>
              <w:bottom w:val="single" w:sz="4" w:space="0" w:color="auto"/>
              <w:right w:val="single" w:sz="4" w:space="0" w:color="auto"/>
            </w:tcBorders>
            <w:shd w:val="clear" w:color="auto" w:fill="auto"/>
            <w:vAlign w:val="center"/>
          </w:tcPr>
          <w:p w14:paraId="498692E1" w14:textId="77777777" w:rsidR="00CA736B" w:rsidRPr="0022238E" w:rsidRDefault="00CA736B" w:rsidP="00267AE2">
            <w:pPr>
              <w:spacing w:before="120"/>
              <w:jc w:val="center"/>
              <w:rPr>
                <w:b/>
              </w:rPr>
            </w:pPr>
          </w:p>
        </w:tc>
        <w:tc>
          <w:tcPr>
            <w:tcW w:w="7256" w:type="dxa"/>
            <w:gridSpan w:val="4"/>
            <w:tcBorders>
              <w:top w:val="single" w:sz="4" w:space="0" w:color="auto"/>
              <w:left w:val="single" w:sz="4" w:space="0" w:color="auto"/>
              <w:bottom w:val="single" w:sz="4" w:space="0" w:color="auto"/>
            </w:tcBorders>
            <w:shd w:val="clear" w:color="auto" w:fill="CFE7ED" w:themeFill="accent1" w:themeFillTint="33"/>
            <w:vAlign w:val="center"/>
          </w:tcPr>
          <w:p w14:paraId="4ABD94C2" w14:textId="222BC3BD" w:rsidR="00CA736B" w:rsidRPr="00CD6D71" w:rsidRDefault="00CA736B" w:rsidP="00267AE2">
            <w:pPr>
              <w:tabs>
                <w:tab w:val="left" w:pos="162"/>
                <w:tab w:val="left" w:pos="1242"/>
                <w:tab w:val="left" w:pos="1962"/>
                <w:tab w:val="left" w:pos="2772"/>
                <w:tab w:val="left" w:pos="4122"/>
                <w:tab w:val="left" w:pos="6012"/>
                <w:tab w:val="left" w:pos="6282"/>
              </w:tabs>
              <w:spacing w:before="120"/>
              <w:rPr>
                <w:b/>
              </w:rPr>
            </w:pPr>
            <w:r w:rsidRPr="0022238E">
              <w:rPr>
                <w:b/>
              </w:rPr>
              <w:t>3CuCl</w:t>
            </w:r>
            <w:r w:rsidRPr="0022238E">
              <w:rPr>
                <w:b/>
                <w:vertAlign w:val="subscript"/>
              </w:rPr>
              <w:t>2</w:t>
            </w:r>
            <w:r>
              <w:rPr>
                <w:b/>
              </w:rPr>
              <w:t>(aq)</w:t>
            </w:r>
            <w:r w:rsidR="00C858CD">
              <w:rPr>
                <w:b/>
              </w:rPr>
              <w:t xml:space="preserve">   </w:t>
            </w:r>
            <w:r w:rsidRPr="0022238E">
              <w:rPr>
                <w:b/>
              </w:rPr>
              <w:t>+</w:t>
            </w:r>
            <w:r w:rsidR="00C858CD">
              <w:rPr>
                <w:b/>
              </w:rPr>
              <w:t xml:space="preserve">   </w:t>
            </w:r>
            <w:r w:rsidRPr="0022238E">
              <w:rPr>
                <w:b/>
              </w:rPr>
              <w:t>2Al</w:t>
            </w:r>
            <w:r w:rsidR="00C858CD">
              <w:rPr>
                <w:b/>
              </w:rPr>
              <w:t xml:space="preserve">(s)     </w:t>
            </w:r>
            <w:r w:rsidRPr="0022238E">
              <w:rPr>
                <w:b/>
              </w:rPr>
              <w:sym w:font="Symbol" w:char="F0AE"/>
            </w:r>
            <w:r w:rsidR="00C858CD">
              <w:rPr>
                <w:b/>
              </w:rPr>
              <w:t xml:space="preserve">                  </w:t>
            </w:r>
            <w:r w:rsidRPr="0022238E">
              <w:rPr>
                <w:b/>
              </w:rPr>
              <w:t>3Cu(s)</w:t>
            </w:r>
            <w:r w:rsidR="00C858CD">
              <w:rPr>
                <w:b/>
              </w:rPr>
              <w:t xml:space="preserve">                     </w:t>
            </w:r>
            <w:r w:rsidRPr="0022238E">
              <w:rPr>
                <w:b/>
              </w:rPr>
              <w:t>+2AlCl</w:t>
            </w:r>
            <w:r w:rsidRPr="0022238E">
              <w:rPr>
                <w:b/>
                <w:vertAlign w:val="subscript"/>
              </w:rPr>
              <w:t>3</w:t>
            </w:r>
            <w:r>
              <w:rPr>
                <w:b/>
              </w:rPr>
              <w:t>(aq)</w:t>
            </w:r>
          </w:p>
        </w:tc>
      </w:tr>
      <w:tr w:rsidR="00CA736B" w14:paraId="544D7CAE" w14:textId="77777777" w:rsidTr="00C858CD">
        <w:trPr>
          <w:trHeight w:val="728"/>
        </w:trPr>
        <w:tc>
          <w:tcPr>
            <w:tcW w:w="2250" w:type="dxa"/>
            <w:tcBorders>
              <w:bottom w:val="single" w:sz="4" w:space="0" w:color="auto"/>
            </w:tcBorders>
            <w:shd w:val="clear" w:color="auto" w:fill="CFE7ED" w:themeFill="accent1" w:themeFillTint="33"/>
            <w:vAlign w:val="center"/>
          </w:tcPr>
          <w:p w14:paraId="44F45407" w14:textId="77777777" w:rsidR="00CA736B" w:rsidRPr="00887654" w:rsidRDefault="00CA736B" w:rsidP="00267AE2">
            <w:pPr>
              <w:spacing w:before="80" w:after="80"/>
              <w:jc w:val="right"/>
              <w:rPr>
                <w:b/>
              </w:rPr>
            </w:pPr>
            <w:r>
              <w:rPr>
                <w:b/>
              </w:rPr>
              <w:t xml:space="preserve">Measured </w:t>
            </w:r>
            <w:r w:rsidRPr="00887654">
              <w:rPr>
                <w:b/>
              </w:rPr>
              <w:t>Mass</w:t>
            </w:r>
            <w:r>
              <w:rPr>
                <w:b/>
              </w:rPr>
              <w:t xml:space="preserve"> (g)</w:t>
            </w:r>
          </w:p>
        </w:tc>
        <w:tc>
          <w:tcPr>
            <w:tcW w:w="1198" w:type="dxa"/>
            <w:tcBorders>
              <w:bottom w:val="single" w:sz="4" w:space="0" w:color="auto"/>
            </w:tcBorders>
            <w:vAlign w:val="center"/>
          </w:tcPr>
          <w:p w14:paraId="6C486309" w14:textId="77777777" w:rsidR="00CA736B" w:rsidRPr="00C62812" w:rsidRDefault="00CA736B" w:rsidP="00267AE2">
            <w:pPr>
              <w:spacing w:before="80" w:after="80"/>
              <w:jc w:val="center"/>
              <w:rPr>
                <w:b/>
                <w:color w:val="F4473C" w:themeColor="accent6"/>
              </w:rPr>
            </w:pPr>
          </w:p>
        </w:tc>
        <w:tc>
          <w:tcPr>
            <w:tcW w:w="1574" w:type="dxa"/>
            <w:tcBorders>
              <w:bottom w:val="single" w:sz="4" w:space="0" w:color="auto"/>
              <w:right w:val="single" w:sz="24" w:space="0" w:color="auto"/>
            </w:tcBorders>
            <w:vAlign w:val="center"/>
          </w:tcPr>
          <w:p w14:paraId="300C4FF3" w14:textId="77777777" w:rsidR="00CA736B" w:rsidRPr="00C62812" w:rsidRDefault="00CA736B" w:rsidP="00267AE2">
            <w:pPr>
              <w:spacing w:before="80" w:after="80"/>
              <w:jc w:val="center"/>
              <w:rPr>
                <w:b/>
                <w:color w:val="F4473C" w:themeColor="accent6"/>
              </w:rPr>
            </w:pPr>
          </w:p>
        </w:tc>
        <w:tc>
          <w:tcPr>
            <w:tcW w:w="3228" w:type="dxa"/>
            <w:tcBorders>
              <w:left w:val="single" w:sz="24" w:space="0" w:color="auto"/>
              <w:bottom w:val="single" w:sz="4" w:space="0" w:color="auto"/>
            </w:tcBorders>
            <w:vAlign w:val="center"/>
          </w:tcPr>
          <w:p w14:paraId="6363E488" w14:textId="77777777" w:rsidR="00CA736B" w:rsidRDefault="00CA736B" w:rsidP="00267AE2">
            <w:pPr>
              <w:tabs>
                <w:tab w:val="left" w:pos="1782"/>
                <w:tab w:val="left" w:pos="2682"/>
              </w:tabs>
              <w:spacing w:before="80" w:after="80"/>
            </w:pPr>
            <w:r>
              <w:t>Filter paper alone</w:t>
            </w:r>
            <w:r>
              <w:tab/>
            </w:r>
            <w:r w:rsidRPr="00702B37">
              <w:rPr>
                <w:u w:val="single"/>
              </w:rPr>
              <w:tab/>
            </w:r>
          </w:p>
          <w:p w14:paraId="0A432BA6" w14:textId="77777777" w:rsidR="00CA736B" w:rsidRDefault="00CA736B" w:rsidP="00267AE2">
            <w:pPr>
              <w:tabs>
                <w:tab w:val="left" w:pos="1782"/>
                <w:tab w:val="left" w:pos="2682"/>
              </w:tabs>
              <w:spacing w:before="80" w:after="80"/>
            </w:pPr>
            <w:r>
              <w:t>Filter paper + Cu</w:t>
            </w:r>
            <w:r>
              <w:tab/>
            </w:r>
            <w:r w:rsidRPr="00702B37">
              <w:rPr>
                <w:u w:val="single"/>
              </w:rPr>
              <w:tab/>
            </w:r>
          </w:p>
          <w:p w14:paraId="4DEE248B" w14:textId="77777777" w:rsidR="00CA736B" w:rsidRPr="003C437A" w:rsidRDefault="00CA736B" w:rsidP="00267AE2">
            <w:pPr>
              <w:tabs>
                <w:tab w:val="left" w:pos="1782"/>
                <w:tab w:val="left" w:pos="2682"/>
              </w:tabs>
              <w:spacing w:before="80" w:after="80"/>
            </w:pPr>
            <w:r>
              <w:t>Cu alone</w:t>
            </w:r>
            <w:r>
              <w:tab/>
            </w:r>
            <w:r w:rsidRPr="00702B37">
              <w:rPr>
                <w:u w:val="single"/>
              </w:rPr>
              <w:tab/>
            </w:r>
          </w:p>
        </w:tc>
        <w:tc>
          <w:tcPr>
            <w:tcW w:w="1256" w:type="dxa"/>
            <w:tcBorders>
              <w:bottom w:val="single" w:sz="4" w:space="0" w:color="auto"/>
              <w:tr2bl w:val="nil"/>
            </w:tcBorders>
            <w:shd w:val="clear" w:color="auto" w:fill="D9D9D9" w:themeFill="background1" w:themeFillShade="D9"/>
            <w:vAlign w:val="center"/>
          </w:tcPr>
          <w:p w14:paraId="43FCCCE6" w14:textId="77777777" w:rsidR="00CA736B" w:rsidRDefault="00CA736B" w:rsidP="00267AE2">
            <w:pPr>
              <w:spacing w:before="80" w:after="80"/>
              <w:jc w:val="center"/>
            </w:pPr>
            <w:r>
              <w:t>N/A</w:t>
            </w:r>
          </w:p>
        </w:tc>
      </w:tr>
      <w:tr w:rsidR="00CA736B" w14:paraId="3646F501" w14:textId="77777777" w:rsidTr="00C858CD">
        <w:trPr>
          <w:trHeight w:val="728"/>
        </w:trPr>
        <w:tc>
          <w:tcPr>
            <w:tcW w:w="2250" w:type="dxa"/>
            <w:shd w:val="clear" w:color="auto" w:fill="CFE7ED" w:themeFill="accent1" w:themeFillTint="33"/>
            <w:vAlign w:val="center"/>
          </w:tcPr>
          <w:p w14:paraId="3BB4F2FB" w14:textId="4B749D17" w:rsidR="00CA736B" w:rsidRPr="00C858CD" w:rsidRDefault="00CA736B" w:rsidP="00267AE2">
            <w:pPr>
              <w:spacing w:before="80" w:after="80"/>
              <w:ind w:left="-108"/>
              <w:jc w:val="right"/>
              <w:rPr>
                <w:b/>
              </w:rPr>
            </w:pPr>
            <w:r w:rsidRPr="00C858CD">
              <w:rPr>
                <w:b/>
              </w:rPr>
              <w:t xml:space="preserve">Molar Mass </w:t>
            </w:r>
            <m:oMath>
              <m:d>
                <m:dPr>
                  <m:ctrlPr>
                    <w:rPr>
                      <w:rFonts w:ascii="Cambria Math" w:hAnsi="Cambria Math" w:cstheme="minorHAnsi"/>
                      <w:b/>
                      <w:sz w:val="24"/>
                    </w:rPr>
                  </m:ctrlPr>
                </m:dPr>
                <m:e>
                  <m:f>
                    <m:fPr>
                      <m:ctrlPr>
                        <w:rPr>
                          <w:rFonts w:ascii="Cambria Math" w:hAnsi="Cambria Math" w:cstheme="minorHAnsi"/>
                          <w:b/>
                          <w:sz w:val="24"/>
                        </w:rPr>
                      </m:ctrlPr>
                    </m:fPr>
                    <m:num>
                      <m:r>
                        <m:rPr>
                          <m:nor/>
                        </m:rPr>
                        <w:rPr>
                          <w:rFonts w:asciiTheme="minorHAnsi" w:hAnsiTheme="minorHAnsi" w:cstheme="minorHAnsi"/>
                          <w:b/>
                          <w:sz w:val="24"/>
                        </w:rPr>
                        <m:t>g</m:t>
                      </m:r>
                    </m:num>
                    <m:den>
                      <m:r>
                        <m:rPr>
                          <m:nor/>
                        </m:rPr>
                        <w:rPr>
                          <w:rFonts w:asciiTheme="minorHAnsi" w:hAnsiTheme="minorHAnsi" w:cstheme="minorHAnsi"/>
                          <w:b/>
                          <w:sz w:val="24"/>
                        </w:rPr>
                        <m:t>mol</m:t>
                      </m:r>
                    </m:den>
                  </m:f>
                </m:e>
              </m:d>
            </m:oMath>
            <w:r w:rsidRPr="00C858CD">
              <w:rPr>
                <w:b/>
              </w:rPr>
              <w:t xml:space="preserve"> </w:t>
            </w:r>
          </w:p>
        </w:tc>
        <w:tc>
          <w:tcPr>
            <w:tcW w:w="1198" w:type="dxa"/>
            <w:vAlign w:val="center"/>
          </w:tcPr>
          <w:p w14:paraId="27DA63DF" w14:textId="77777777" w:rsidR="00CA736B" w:rsidRDefault="00CA736B" w:rsidP="00267AE2">
            <w:pPr>
              <w:spacing w:before="80" w:after="80"/>
              <w:jc w:val="center"/>
            </w:pPr>
            <w:r>
              <w:t>134.45</w:t>
            </w:r>
          </w:p>
        </w:tc>
        <w:tc>
          <w:tcPr>
            <w:tcW w:w="1574" w:type="dxa"/>
            <w:tcBorders>
              <w:right w:val="single" w:sz="24" w:space="0" w:color="auto"/>
            </w:tcBorders>
            <w:vAlign w:val="center"/>
          </w:tcPr>
          <w:p w14:paraId="00362FF1" w14:textId="77777777" w:rsidR="00CA736B" w:rsidRDefault="00CA736B" w:rsidP="00267AE2">
            <w:pPr>
              <w:spacing w:before="80" w:after="80"/>
              <w:jc w:val="center"/>
            </w:pPr>
            <w:r>
              <w:t>26.98</w:t>
            </w:r>
          </w:p>
        </w:tc>
        <w:tc>
          <w:tcPr>
            <w:tcW w:w="3228" w:type="dxa"/>
            <w:tcBorders>
              <w:left w:val="single" w:sz="24" w:space="0" w:color="auto"/>
            </w:tcBorders>
            <w:vAlign w:val="center"/>
          </w:tcPr>
          <w:p w14:paraId="39D9E06E" w14:textId="77777777" w:rsidR="00CA736B" w:rsidRDefault="00CA736B" w:rsidP="00267AE2">
            <w:pPr>
              <w:spacing w:before="80" w:after="80"/>
              <w:jc w:val="center"/>
            </w:pPr>
            <w:r>
              <w:t>63.55</w:t>
            </w:r>
          </w:p>
        </w:tc>
        <w:tc>
          <w:tcPr>
            <w:tcW w:w="1256" w:type="dxa"/>
            <w:tcBorders>
              <w:tr2bl w:val="nil"/>
            </w:tcBorders>
            <w:shd w:val="clear" w:color="auto" w:fill="D9D9D9" w:themeFill="background1" w:themeFillShade="D9"/>
            <w:vAlign w:val="center"/>
          </w:tcPr>
          <w:p w14:paraId="7683B86C" w14:textId="77777777" w:rsidR="00CA736B" w:rsidRDefault="00CA736B" w:rsidP="00267AE2">
            <w:pPr>
              <w:spacing w:before="80" w:after="80"/>
              <w:jc w:val="center"/>
            </w:pPr>
            <w:r>
              <w:t>N/A</w:t>
            </w:r>
          </w:p>
        </w:tc>
      </w:tr>
      <w:tr w:rsidR="00CA736B" w14:paraId="4E735F18" w14:textId="77777777" w:rsidTr="00C858CD">
        <w:trPr>
          <w:trHeight w:val="728"/>
        </w:trPr>
        <w:tc>
          <w:tcPr>
            <w:tcW w:w="2250" w:type="dxa"/>
            <w:tcBorders>
              <w:top w:val="single" w:sz="4" w:space="0" w:color="auto"/>
              <w:bottom w:val="single" w:sz="4" w:space="0" w:color="auto"/>
            </w:tcBorders>
            <w:shd w:val="clear" w:color="auto" w:fill="CFE7ED" w:themeFill="accent1" w:themeFillTint="33"/>
            <w:vAlign w:val="center"/>
          </w:tcPr>
          <w:p w14:paraId="5B32053F" w14:textId="77777777" w:rsidR="00CA736B" w:rsidRPr="00887654" w:rsidRDefault="00CA736B" w:rsidP="00267AE2">
            <w:pPr>
              <w:spacing w:before="80" w:after="80"/>
              <w:jc w:val="right"/>
              <w:rPr>
                <w:b/>
              </w:rPr>
            </w:pPr>
            <w:r>
              <w:rPr>
                <w:b/>
              </w:rPr>
              <w:t xml:space="preserve">Actual </w:t>
            </w:r>
            <w:r w:rsidRPr="00887654">
              <w:rPr>
                <w:b/>
              </w:rPr>
              <w:t>Moles</w:t>
            </w:r>
            <w:r>
              <w:rPr>
                <w:b/>
              </w:rPr>
              <w:t xml:space="preserve"> (mol)</w:t>
            </w:r>
          </w:p>
        </w:tc>
        <w:tc>
          <w:tcPr>
            <w:tcW w:w="1198" w:type="dxa"/>
            <w:tcBorders>
              <w:top w:val="single" w:sz="4" w:space="0" w:color="auto"/>
              <w:bottom w:val="single" w:sz="4" w:space="0" w:color="auto"/>
            </w:tcBorders>
            <w:vAlign w:val="center"/>
          </w:tcPr>
          <w:p w14:paraId="29003295" w14:textId="77777777" w:rsidR="00CA736B" w:rsidRDefault="00CA736B" w:rsidP="00267AE2">
            <w:pPr>
              <w:spacing w:before="80" w:after="80"/>
              <w:jc w:val="center"/>
            </w:pPr>
          </w:p>
        </w:tc>
        <w:tc>
          <w:tcPr>
            <w:tcW w:w="1574" w:type="dxa"/>
            <w:tcBorders>
              <w:top w:val="single" w:sz="4" w:space="0" w:color="auto"/>
              <w:bottom w:val="single" w:sz="4" w:space="0" w:color="auto"/>
              <w:right w:val="single" w:sz="24" w:space="0" w:color="auto"/>
            </w:tcBorders>
            <w:vAlign w:val="center"/>
          </w:tcPr>
          <w:p w14:paraId="07A138CD" w14:textId="77777777" w:rsidR="00CA736B" w:rsidRDefault="00CA736B" w:rsidP="00267AE2">
            <w:pPr>
              <w:spacing w:before="80" w:after="80"/>
              <w:jc w:val="center"/>
            </w:pPr>
          </w:p>
        </w:tc>
        <w:tc>
          <w:tcPr>
            <w:tcW w:w="3228" w:type="dxa"/>
            <w:tcBorders>
              <w:top w:val="single" w:sz="4" w:space="0" w:color="auto"/>
              <w:left w:val="single" w:sz="24" w:space="0" w:color="auto"/>
              <w:bottom w:val="single" w:sz="4" w:space="0" w:color="auto"/>
            </w:tcBorders>
            <w:vAlign w:val="center"/>
          </w:tcPr>
          <w:p w14:paraId="4F0CCC91" w14:textId="77777777" w:rsidR="00CA736B" w:rsidRDefault="00CA736B" w:rsidP="00267AE2">
            <w:pPr>
              <w:spacing w:before="80" w:after="80"/>
              <w:jc w:val="center"/>
            </w:pPr>
          </w:p>
        </w:tc>
        <w:tc>
          <w:tcPr>
            <w:tcW w:w="1256" w:type="dxa"/>
            <w:tcBorders>
              <w:top w:val="single" w:sz="4" w:space="0" w:color="auto"/>
              <w:bottom w:val="single" w:sz="4" w:space="0" w:color="auto"/>
              <w:tr2bl w:val="nil"/>
            </w:tcBorders>
            <w:shd w:val="clear" w:color="auto" w:fill="D9D9D9" w:themeFill="background1" w:themeFillShade="D9"/>
            <w:vAlign w:val="center"/>
          </w:tcPr>
          <w:p w14:paraId="3910A414" w14:textId="77777777" w:rsidR="00CA736B" w:rsidRDefault="00CA736B" w:rsidP="00267AE2">
            <w:pPr>
              <w:spacing w:before="80" w:after="80"/>
              <w:jc w:val="center"/>
            </w:pPr>
            <w:r>
              <w:t>N/A</w:t>
            </w:r>
          </w:p>
        </w:tc>
      </w:tr>
    </w:tbl>
    <w:p w14:paraId="3B13EEAA" w14:textId="77777777" w:rsidR="00CA736B" w:rsidRDefault="00CA736B" w:rsidP="00CA736B"/>
    <w:p w14:paraId="06B7CC86" w14:textId="58480566" w:rsidR="00CA736B" w:rsidRDefault="00CA736B" w:rsidP="00CA736B">
      <w:pPr>
        <w:rPr>
          <w:color w:val="000000"/>
        </w:rPr>
      </w:pPr>
      <w:r w:rsidRPr="002A09E1">
        <w:rPr>
          <w:b/>
        </w:rPr>
        <w:t xml:space="preserve">Analysis: </w:t>
      </w:r>
      <w:r>
        <w:t>The l</w:t>
      </w:r>
      <w:r w:rsidRPr="00590DC1">
        <w:t xml:space="preserve">imiting </w:t>
      </w:r>
      <w:r>
        <w:t>r</w:t>
      </w:r>
      <w:r w:rsidRPr="00590DC1">
        <w:t xml:space="preserve">eactant </w:t>
      </w:r>
      <w:r>
        <w:t xml:space="preserve">is </w:t>
      </w:r>
      <w:r>
        <w:rPr>
          <w:u w:val="single"/>
        </w:rPr>
        <w:t>_________________</w:t>
      </w:r>
      <w:r w:rsidRPr="00590DC1">
        <w:t xml:space="preserve"> </w:t>
      </w:r>
      <w:r>
        <w:t xml:space="preserve">because . . . </w:t>
      </w:r>
    </w:p>
    <w:p w14:paraId="542DDF36" w14:textId="77777777" w:rsidR="00CA736B" w:rsidRDefault="00CA736B" w:rsidP="00CA736B">
      <w:pPr>
        <w:rPr>
          <w:color w:val="000000"/>
        </w:rPr>
      </w:pPr>
    </w:p>
    <w:p w14:paraId="7ED8ECBC" w14:textId="77777777" w:rsidR="00CA736B" w:rsidRPr="0018351E" w:rsidRDefault="00CA736B" w:rsidP="00CA736B">
      <w:pPr>
        <w:rPr>
          <w:color w:val="000000"/>
        </w:rPr>
      </w:pPr>
    </w:p>
    <w:p w14:paraId="23703BBD" w14:textId="77777777" w:rsidR="00CA736B" w:rsidRDefault="00CA736B" w:rsidP="00CA736B">
      <w:pPr>
        <w:tabs>
          <w:tab w:val="left" w:pos="1782"/>
          <w:tab w:val="left" w:pos="2682"/>
        </w:tabs>
        <w:spacing w:before="240" w:after="0"/>
        <w:rPr>
          <w:szCs w:val="20"/>
          <w:u w:color="333333" w:themeColor="text1"/>
        </w:rPr>
      </w:pPr>
      <w:r w:rsidRPr="00667DDA">
        <w:rPr>
          <w:szCs w:val="20"/>
          <w:u w:color="333333" w:themeColor="text1"/>
        </w:rPr>
        <w:t xml:space="preserve">Theoretical </w:t>
      </w:r>
      <w:r>
        <w:rPr>
          <w:szCs w:val="20"/>
          <w:u w:color="333333" w:themeColor="text1"/>
        </w:rPr>
        <w:t>y</w:t>
      </w:r>
      <w:r w:rsidRPr="00667DDA">
        <w:rPr>
          <w:szCs w:val="20"/>
          <w:u w:color="333333" w:themeColor="text1"/>
        </w:rPr>
        <w:t xml:space="preserve">ield of </w:t>
      </w:r>
      <w:r>
        <w:rPr>
          <w:szCs w:val="20"/>
          <w:u w:color="333333" w:themeColor="text1"/>
        </w:rPr>
        <w:t>c</w:t>
      </w:r>
      <w:r w:rsidRPr="00667DDA">
        <w:rPr>
          <w:szCs w:val="20"/>
          <w:u w:color="333333" w:themeColor="text1"/>
        </w:rPr>
        <w:t>opper</w:t>
      </w:r>
      <w:r>
        <w:rPr>
          <w:szCs w:val="20"/>
          <w:u w:color="333333" w:themeColor="text1"/>
        </w:rPr>
        <w:t xml:space="preserve"> based on the limiting reactant; (insert the answer from above) </w:t>
      </w:r>
    </w:p>
    <w:p w14:paraId="62FEEB7F" w14:textId="31A812F8" w:rsidR="00CA736B" w:rsidRDefault="00CA736B" w:rsidP="00CA736B">
      <w:pPr>
        <w:tabs>
          <w:tab w:val="left" w:pos="1782"/>
          <w:tab w:val="left" w:pos="2682"/>
        </w:tabs>
        <w:spacing w:before="240" w:after="0"/>
        <w:rPr>
          <w:szCs w:val="20"/>
          <w:u w:color="333333" w:themeColor="text1"/>
        </w:rPr>
      </w:pPr>
      <w:r>
        <w:rPr>
          <w:szCs w:val="20"/>
          <w:u w:color="333333" w:themeColor="text1"/>
        </w:rPr>
        <w:t>________</w:t>
      </w:r>
      <w:r w:rsidRPr="00667DDA">
        <w:rPr>
          <w:szCs w:val="20"/>
          <w:u w:color="333333" w:themeColor="text1"/>
        </w:rPr>
        <w:t>:</w:t>
      </w:r>
      <w:r>
        <w:rPr>
          <w:szCs w:val="20"/>
          <w:u w:color="333333" w:themeColor="text1"/>
        </w:rPr>
        <w:t xml:space="preserve"> </w:t>
      </w:r>
      <w:r>
        <w:rPr>
          <w:szCs w:val="20"/>
        </w:rPr>
        <w:t xml:space="preserve">________ </w:t>
      </w:r>
      <w:r w:rsidRPr="00252B1C">
        <w:rPr>
          <w:szCs w:val="20"/>
          <w:u w:color="333333" w:themeColor="text1"/>
        </w:rPr>
        <w:t>moles =</w:t>
      </w:r>
      <w:r w:rsidRPr="00A52F21">
        <w:rPr>
          <w:color w:val="333333" w:themeColor="text1"/>
          <w:szCs w:val="20"/>
          <w:u w:color="333333" w:themeColor="text1"/>
        </w:rPr>
        <w:t> </w:t>
      </w:r>
      <w:r w:rsidRPr="00A52F21">
        <w:rPr>
          <w:color w:val="333333" w:themeColor="text1"/>
          <w:szCs w:val="20"/>
        </w:rPr>
        <w:t>_____</w:t>
      </w:r>
      <w:r>
        <w:rPr>
          <w:color w:val="333333" w:themeColor="text1"/>
          <w:szCs w:val="20"/>
        </w:rPr>
        <w:t>_____</w:t>
      </w:r>
      <w:r w:rsidRPr="00A52F21">
        <w:rPr>
          <w:color w:val="333333" w:themeColor="text1"/>
          <w:szCs w:val="20"/>
        </w:rPr>
        <w:t xml:space="preserve"> </w:t>
      </w:r>
      <w:r w:rsidRPr="00667DDA">
        <w:rPr>
          <w:szCs w:val="20"/>
          <w:u w:color="333333" w:themeColor="text1"/>
        </w:rPr>
        <w:t>g</w:t>
      </w:r>
    </w:p>
    <w:p w14:paraId="689D4312" w14:textId="17EC767C" w:rsidR="00CA736B" w:rsidRPr="00113331" w:rsidRDefault="00CA736B" w:rsidP="00CA736B">
      <w:pPr>
        <w:tabs>
          <w:tab w:val="left" w:pos="1782"/>
          <w:tab w:val="left" w:pos="2682"/>
        </w:tabs>
        <w:spacing w:before="240" w:after="0"/>
        <w:rPr>
          <w:szCs w:val="20"/>
          <w:u w:color="333333" w:themeColor="text1"/>
        </w:rPr>
      </w:pPr>
      <w:r w:rsidRPr="00667DDA">
        <w:rPr>
          <w:szCs w:val="20"/>
          <w:u w:color="333333" w:themeColor="text1"/>
        </w:rPr>
        <w:t xml:space="preserve">Percent </w:t>
      </w:r>
      <w:r>
        <w:rPr>
          <w:szCs w:val="20"/>
          <w:u w:color="333333" w:themeColor="text1"/>
        </w:rPr>
        <w:t>y</w:t>
      </w:r>
      <w:r w:rsidRPr="00667DDA">
        <w:rPr>
          <w:szCs w:val="20"/>
          <w:u w:color="333333" w:themeColor="text1"/>
        </w:rPr>
        <w:t>ield:</w:t>
      </w:r>
      <w:r>
        <w:rPr>
          <w:szCs w:val="20"/>
          <w:u w:color="333333" w:themeColor="text1"/>
        </w:rPr>
        <w:t xml:space="preserve"> ________</w:t>
      </w:r>
      <w:r w:rsidRPr="00667DDA">
        <w:rPr>
          <w:szCs w:val="20"/>
          <w:u w:color="333333" w:themeColor="text1"/>
        </w:rPr>
        <w:t>%</w:t>
      </w:r>
    </w:p>
    <w:p w14:paraId="14BADB76" w14:textId="77777777" w:rsidR="002C5C29" w:rsidRPr="002C5C29" w:rsidRDefault="002C5C29" w:rsidP="00FA7186">
      <w:pPr>
        <w:spacing w:before="120"/>
        <w:ind w:left="360" w:hanging="360"/>
        <w:rPr>
          <w:rStyle w:val="Strong"/>
        </w:rPr>
      </w:pPr>
    </w:p>
    <w:sectPr w:rsidR="002C5C29" w:rsidRPr="002C5C29"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DCFE" w14:textId="77777777" w:rsidR="00BF0197" w:rsidRDefault="00BF0197">
      <w:r>
        <w:separator/>
      </w:r>
    </w:p>
  </w:endnote>
  <w:endnote w:type="continuationSeparator" w:id="0">
    <w:p w14:paraId="75C786BA" w14:textId="77777777" w:rsidR="00BF0197" w:rsidRDefault="00BF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C080" w14:textId="77777777" w:rsidR="00BF0197" w:rsidRDefault="00BF0197"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7DA7CDCE" w14:textId="77777777" w:rsidR="00BF0197" w:rsidRDefault="00BF0197"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298F654D" w14:textId="77777777" w:rsidR="00BF0197" w:rsidRDefault="00BF0197" w:rsidP="004902ED">
      <w:pPr>
        <w:ind w:right="360" w:firstLine="360"/>
      </w:pPr>
      <w:r>
        <w:separator/>
      </w:r>
    </w:p>
  </w:footnote>
  <w:footnote w:type="continuationSeparator" w:id="0">
    <w:p w14:paraId="6B85455F" w14:textId="77777777" w:rsidR="00BF0197" w:rsidRDefault="00BF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6BD0B6B9" w:rsidR="00D87DB0" w:rsidRPr="00054B83" w:rsidRDefault="00AB02BC"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26A2E724" wp14:editId="61A04211">
              <wp:simplePos x="0" y="0"/>
              <wp:positionH relativeFrom="column">
                <wp:posOffset>-707365</wp:posOffset>
              </wp:positionH>
              <wp:positionV relativeFrom="paragraph">
                <wp:posOffset>-129396</wp:posOffset>
              </wp:positionV>
              <wp:extent cx="3678938"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78938"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2D9AC6EF"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D63E65">
                            <w:rPr>
                              <w:rFonts w:asciiTheme="majorHAnsi" w:hAnsiTheme="majorHAnsi" w:cstheme="majorHAnsi"/>
                              <w:b/>
                              <w:color w:val="FFFFFF" w:themeColor="background1"/>
                              <w:sz w:val="28"/>
                              <w:szCs w:val="28"/>
                            </w:rPr>
                            <w:t xml:space="preserve">Limiting Reactant and Percent Yield </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55.7pt;margin-top:-10.2pt;width:289.7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" filled="f" stroked="f" strokeweight=".5pt">
              <v:textbox>
                <w:txbxContent>
                  <w:p w14:paraId="27AE0F76" w14:textId="2D9AC6EF"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D63E65">
                      <w:rPr>
                        <w:rFonts w:asciiTheme="majorHAnsi" w:hAnsiTheme="majorHAnsi" w:cstheme="majorHAnsi"/>
                        <w:b/>
                        <w:color w:val="FFFFFF" w:themeColor="background1"/>
                        <w:sz w:val="28"/>
                        <w:szCs w:val="28"/>
                      </w:rPr>
                      <w:t xml:space="preserve">Limiting Reactant and Percent Yield </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sidR="00D87DB0"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D87DB0" w:rsidRPr="009E2169">
      <w:rPr>
        <w:noProof/>
      </w:rPr>
      <w:drawing>
        <wp:anchor distT="0" distB="0" distL="114300" distR="114300" simplePos="0" relativeHeight="251672576" behindDoc="0" locked="0" layoutInCell="1" allowOverlap="1" wp14:anchorId="26A2E722" wp14:editId="40FEDA7B">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D87DB0">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0CC75"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7DB7256"/>
    <w:multiLevelType w:val="multilevel"/>
    <w:tmpl w:val="700E4D24"/>
    <w:numStyleLink w:val="bulletsflush"/>
  </w:abstractNum>
  <w:abstractNum w:abstractNumId="1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77453"/>
    <w:multiLevelType w:val="multilevel"/>
    <w:tmpl w:val="74D69606"/>
    <w:numStyleLink w:val="numbers"/>
  </w:abstractNum>
  <w:abstractNum w:abstractNumId="13" w15:restartNumberingAfterBreak="0">
    <w:nsid w:val="559B62F9"/>
    <w:multiLevelType w:val="multilevel"/>
    <w:tmpl w:val="700E4D24"/>
    <w:numStyleLink w:val="bulletsflush"/>
  </w:abstractNum>
  <w:abstractNum w:abstractNumId="14"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9"/>
  </w:num>
  <w:num w:numId="4">
    <w:abstractNumId w:val="3"/>
  </w:num>
  <w:num w:numId="5">
    <w:abstractNumId w:val="4"/>
  </w:num>
  <w:num w:numId="6">
    <w:abstractNumId w:val="6"/>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2"/>
  </w:num>
  <w:num w:numId="8">
    <w:abstractNumId w:val="12"/>
  </w:num>
  <w:num w:numId="9">
    <w:abstractNumId w:val="13"/>
  </w:num>
  <w:num w:numId="10">
    <w:abstractNumId w:val="0"/>
  </w:num>
  <w:num w:numId="11">
    <w:abstractNumId w:val="18"/>
  </w:num>
  <w:num w:numId="12">
    <w:abstractNumId w:val="8"/>
  </w:num>
  <w:num w:numId="13">
    <w:abstractNumId w:val="19"/>
  </w:num>
  <w:num w:numId="14">
    <w:abstractNumId w:val="14"/>
  </w:num>
  <w:num w:numId="15">
    <w:abstractNumId w:val="17"/>
  </w:num>
  <w:num w:numId="16">
    <w:abstractNumId w:val="5"/>
  </w:num>
  <w:num w:numId="17">
    <w:abstractNumId w:val="15"/>
  </w:num>
  <w:num w:numId="18">
    <w:abstractNumId w:val="1"/>
  </w:num>
  <w:num w:numId="19">
    <w:abstractNumId w:val="16"/>
  </w:num>
  <w:num w:numId="20">
    <w:abstractNumId w:val="6"/>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673"/>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0E"/>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1DA3"/>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0CB7"/>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3BED"/>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16DA"/>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02BC"/>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0197"/>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58CD"/>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A736B"/>
    <w:rsid w:val="00CB171F"/>
    <w:rsid w:val="00CB24F4"/>
    <w:rsid w:val="00CB261B"/>
    <w:rsid w:val="00CB274D"/>
    <w:rsid w:val="00CB319D"/>
    <w:rsid w:val="00CB4571"/>
    <w:rsid w:val="00CB5822"/>
    <w:rsid w:val="00CC00EE"/>
    <w:rsid w:val="00CC081C"/>
    <w:rsid w:val="00CC0EE8"/>
    <w:rsid w:val="00CC2327"/>
    <w:rsid w:val="00CC2E2D"/>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3E65"/>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2D8"/>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3D6"/>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57219869-4D71-4AF9-B55D-C6153EFE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NYTQRMT4MAHZ-2-49054</_dlc_DocId>
    <_dlc_DocIdUrl xmlns="8e8c147c-4a44-4efb-abf1-e3af25080dca">
      <Url>http://eportal.education2020.com/Curriculum/CSCI/_layouts/DocIdRedir.aspx?ID=NYTQRMT4MAHZ-2-49054</Url>
      <Description>NYTQRMT4MAHZ-2-49054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purl.org/dc/dcmitype/"/>
    <ds:schemaRef ds:uri="http://purl.org/dc/terms/"/>
    <ds:schemaRef ds:uri="http://schemas.microsoft.com/office/2006/documentManagement/types"/>
    <ds:schemaRef ds:uri="8e8c147c-4a44-4efb-abf1-e3af25080dca"/>
    <ds:schemaRef ds:uri="http://schemas.microsoft.com/office/infopath/2007/PartnerControls"/>
    <ds:schemaRef ds:uri="23c08e2c-2ed2-4c06-80fd-450e2664af30"/>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6706534D-87B1-4045-A66F-FD14E641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5401</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2013-11-20T00:05:00Z</cp:lastPrinted>
  <dcterms:created xsi:type="dcterms:W3CDTF">2019-03-19T16:00:00Z</dcterms:created>
  <dcterms:modified xsi:type="dcterms:W3CDTF">2019-03-19T16:00:00Z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e09141eb-dc8c-45e0-bfd9-a60fb91439bd</vt:lpwstr>
  </property>
  <property fmtid="{D5CDD505-2E9C-101B-9397-08002B2CF9AE}" pid="4" name="TaxKeyword">
    <vt:lpwstr>8268;#word template|e509681c-2a53-48c4-9e43-9883af6a85ed;#7229;#lab|b821b46e-a9de-403a-812d-d305b612c9b8</vt:lpwstr>
  </property>
</Properties>
</file>